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E1E13" w:rsidRDefault="00E924CE">
      <w:pPr>
        <w:shd w:val="clear" w:color="auto" w:fill="FF2400"/>
        <w:spacing w:before="240" w:after="240" w:line="360" w:lineRule="auto"/>
        <w:jc w:val="center"/>
        <w:rPr>
          <w:rFonts w:ascii="Verdana" w:eastAsia="Verdana" w:hAnsi="Verdana" w:cs="Verdana"/>
          <w:b/>
          <w:color w:val="000000"/>
          <w:sz w:val="40"/>
          <w:szCs w:val="40"/>
        </w:rPr>
      </w:pPr>
      <w:r>
        <w:rPr>
          <w:rFonts w:ascii="Verdana" w:eastAsia="Verdana" w:hAnsi="Verdana" w:cs="Verdana"/>
          <w:b/>
          <w:color w:val="000000"/>
          <w:sz w:val="40"/>
          <w:szCs w:val="40"/>
        </w:rPr>
        <w:t>CONDICIONES GENERALES DE USO DE LA PLATAFORMA:</w:t>
      </w:r>
    </w:p>
    <w:p w14:paraId="00000002" w14:textId="77777777" w:rsidR="006E1E13" w:rsidRDefault="006E1E13">
      <w:pPr>
        <w:spacing w:before="240" w:after="240" w:line="360" w:lineRule="auto"/>
        <w:rPr>
          <w:rFonts w:ascii="Verdana" w:eastAsia="Verdana" w:hAnsi="Verdana" w:cs="Verdana"/>
          <w:sz w:val="20"/>
          <w:szCs w:val="20"/>
        </w:rPr>
      </w:pPr>
    </w:p>
    <w:p w14:paraId="00000003" w14:textId="77777777" w:rsidR="006E1E13" w:rsidRDefault="006E1E13">
      <w:pPr>
        <w:spacing w:before="240" w:after="240" w:line="360" w:lineRule="auto"/>
        <w:rPr>
          <w:rFonts w:ascii="Verdana" w:eastAsia="Verdana" w:hAnsi="Verdana" w:cs="Verdana"/>
          <w:sz w:val="20"/>
          <w:szCs w:val="20"/>
        </w:rPr>
      </w:pPr>
    </w:p>
    <w:p w14:paraId="00000004" w14:textId="77777777" w:rsidR="006E1E13" w:rsidRDefault="00E924CE">
      <w:pPr>
        <w:spacing w:before="240" w:after="240" w:line="360" w:lineRule="auto"/>
        <w:rPr>
          <w:rFonts w:ascii="Verdana" w:eastAsia="Verdana" w:hAnsi="Verdana" w:cs="Verdana"/>
          <w:sz w:val="20"/>
          <w:szCs w:val="20"/>
        </w:rPr>
      </w:pPr>
      <w:r>
        <w:rPr>
          <w:noProof/>
        </w:rPr>
        <w:drawing>
          <wp:anchor distT="0" distB="0" distL="114300" distR="114300" simplePos="0" relativeHeight="251658240" behindDoc="0" locked="0" layoutInCell="1" hidden="0" allowOverlap="1" wp14:anchorId="53D65A6F" wp14:editId="6158283E">
            <wp:simplePos x="0" y="0"/>
            <wp:positionH relativeFrom="column">
              <wp:posOffset>367665</wp:posOffset>
            </wp:positionH>
            <wp:positionV relativeFrom="paragraph">
              <wp:posOffset>149860</wp:posOffset>
            </wp:positionV>
            <wp:extent cx="4795520" cy="596900"/>
            <wp:effectExtent l="0" t="0" r="0" b="0"/>
            <wp:wrapNone/>
            <wp:docPr id="1124364421" name="image1.png" descr="A red circle with grey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circle with grey square&#10;&#10;Description automatically generated"/>
                    <pic:cNvPicPr preferRelativeResize="0"/>
                  </pic:nvPicPr>
                  <pic:blipFill>
                    <a:blip r:embed="rId11"/>
                    <a:srcRect/>
                    <a:stretch>
                      <a:fillRect/>
                    </a:stretch>
                  </pic:blipFill>
                  <pic:spPr>
                    <a:xfrm>
                      <a:off x="0" y="0"/>
                      <a:ext cx="4795520" cy="596900"/>
                    </a:xfrm>
                    <a:prstGeom prst="rect">
                      <a:avLst/>
                    </a:prstGeom>
                    <a:ln/>
                  </pic:spPr>
                </pic:pic>
              </a:graphicData>
            </a:graphic>
          </wp:anchor>
        </w:drawing>
      </w:r>
    </w:p>
    <w:p w14:paraId="00000005" w14:textId="77777777" w:rsidR="006E1E13" w:rsidRDefault="006E1E13">
      <w:pPr>
        <w:spacing w:before="240" w:after="240" w:line="360" w:lineRule="auto"/>
        <w:rPr>
          <w:rFonts w:ascii="Verdana" w:eastAsia="Verdana" w:hAnsi="Verdana" w:cs="Verdana"/>
          <w:sz w:val="20"/>
          <w:szCs w:val="20"/>
        </w:rPr>
      </w:pPr>
    </w:p>
    <w:p w14:paraId="00000006" w14:textId="77777777" w:rsidR="006E1E13" w:rsidRDefault="006E1E13">
      <w:pPr>
        <w:spacing w:before="240" w:after="240" w:line="360" w:lineRule="auto"/>
        <w:rPr>
          <w:rFonts w:ascii="Verdana" w:eastAsia="Verdana" w:hAnsi="Verdana" w:cs="Verdana"/>
          <w:b/>
          <w:color w:val="FF0000"/>
          <w:sz w:val="20"/>
          <w:szCs w:val="20"/>
          <w:highlight w:val="yellow"/>
        </w:rPr>
      </w:pPr>
    </w:p>
    <w:p w14:paraId="00000007" w14:textId="77777777" w:rsidR="006E1E13" w:rsidRDefault="006E1E13">
      <w:pPr>
        <w:spacing w:before="240" w:after="240" w:line="360" w:lineRule="auto"/>
        <w:jc w:val="center"/>
        <w:rPr>
          <w:rFonts w:ascii="Verdana" w:eastAsia="Verdana" w:hAnsi="Verdana" w:cs="Verdana"/>
          <w:b/>
          <w:color w:val="000000"/>
          <w:sz w:val="20"/>
          <w:szCs w:val="20"/>
          <w:highlight w:val="yellow"/>
        </w:rPr>
      </w:pPr>
    </w:p>
    <w:p w14:paraId="00000009" w14:textId="08770836" w:rsidR="006E1E13" w:rsidRDefault="00E924CE">
      <w:pPr>
        <w:spacing w:before="240" w:after="240" w:line="360" w:lineRule="auto"/>
        <w:jc w:val="center"/>
        <w:rPr>
          <w:rFonts w:ascii="Verdana" w:eastAsia="Verdana" w:hAnsi="Verdana" w:cs="Verdana"/>
          <w:b/>
          <w:color w:val="0070C0"/>
          <w:sz w:val="20"/>
          <w:szCs w:val="20"/>
        </w:rPr>
      </w:pPr>
      <w:r>
        <w:rPr>
          <w:rFonts w:ascii="Verdana" w:eastAsia="Verdana" w:hAnsi="Verdana" w:cs="Verdana"/>
          <w:b/>
          <w:color w:val="0070C0"/>
          <w:sz w:val="20"/>
          <w:szCs w:val="20"/>
        </w:rPr>
        <w:t xml:space="preserve">VERSIÓN: </w:t>
      </w:r>
      <w:r w:rsidR="00B8745F">
        <w:rPr>
          <w:rFonts w:ascii="Verdana" w:eastAsia="Verdana" w:hAnsi="Verdana" w:cs="Verdana"/>
          <w:b/>
          <w:bCs/>
          <w:color w:val="0070C0"/>
          <w:sz w:val="20"/>
          <w:szCs w:val="20"/>
        </w:rPr>
        <w:t>19</w:t>
      </w:r>
      <w:r>
        <w:rPr>
          <w:rFonts w:ascii="Verdana" w:eastAsia="Verdana" w:hAnsi="Verdana" w:cs="Verdana"/>
          <w:b/>
          <w:color w:val="0070C0"/>
          <w:sz w:val="20"/>
          <w:szCs w:val="20"/>
        </w:rPr>
        <w:t xml:space="preserve"> DE </w:t>
      </w:r>
      <w:r w:rsidR="00B8745F">
        <w:rPr>
          <w:rFonts w:ascii="Verdana" w:eastAsia="Verdana" w:hAnsi="Verdana" w:cs="Verdana"/>
          <w:b/>
          <w:bCs/>
          <w:color w:val="0070C0"/>
          <w:sz w:val="20"/>
          <w:szCs w:val="20"/>
        </w:rPr>
        <w:t>NOVIEMBRE</w:t>
      </w:r>
      <w:r>
        <w:rPr>
          <w:rFonts w:ascii="Verdana" w:eastAsia="Verdana" w:hAnsi="Verdana" w:cs="Verdana"/>
          <w:b/>
          <w:color w:val="0070C0"/>
          <w:sz w:val="20"/>
          <w:szCs w:val="20"/>
        </w:rPr>
        <w:t xml:space="preserve"> 2025</w:t>
      </w:r>
    </w:p>
    <w:p w14:paraId="0000000A" w14:textId="77777777" w:rsidR="006E1E13" w:rsidRDefault="006E1E13">
      <w:pPr>
        <w:spacing w:before="240" w:after="240" w:line="360" w:lineRule="auto"/>
        <w:rPr>
          <w:rFonts w:ascii="Verdana" w:eastAsia="Verdana" w:hAnsi="Verdana" w:cs="Verdana"/>
          <w:sz w:val="20"/>
          <w:szCs w:val="20"/>
        </w:rPr>
      </w:pPr>
    </w:p>
    <w:p w14:paraId="0000000B" w14:textId="77777777" w:rsidR="006E1E13" w:rsidRDefault="00E924CE">
      <w:pPr>
        <w:spacing w:before="240" w:after="240" w:line="360" w:lineRule="auto"/>
        <w:rPr>
          <w:rFonts w:ascii="Verdana" w:eastAsia="Verdana" w:hAnsi="Verdana" w:cs="Verdana"/>
          <w:sz w:val="20"/>
          <w:szCs w:val="20"/>
        </w:rPr>
      </w:pPr>
      <w:r>
        <w:br w:type="page"/>
      </w:r>
    </w:p>
    <w:p w14:paraId="0000000C" w14:textId="77777777" w:rsidR="006E1E13" w:rsidRPr="00EE32C0" w:rsidRDefault="00E924CE">
      <w:pPr>
        <w:keepNext/>
        <w:keepLines/>
        <w:pBdr>
          <w:top w:val="nil"/>
          <w:left w:val="nil"/>
          <w:bottom w:val="nil"/>
          <w:right w:val="nil"/>
          <w:between w:val="nil"/>
        </w:pBdr>
        <w:spacing w:before="240" w:after="240" w:line="360" w:lineRule="auto"/>
        <w:jc w:val="center"/>
        <w:rPr>
          <w:rFonts w:ascii="Verdana" w:eastAsia="Verdana" w:hAnsi="Verdana" w:cs="Verdana"/>
          <w:b/>
          <w:color w:val="000000"/>
        </w:rPr>
      </w:pPr>
      <w:r w:rsidRPr="00EE32C0">
        <w:rPr>
          <w:rFonts w:ascii="Verdana" w:eastAsia="Verdana" w:hAnsi="Verdana" w:cs="Verdana"/>
          <w:b/>
          <w:color w:val="000000"/>
        </w:rPr>
        <w:lastRenderedPageBreak/>
        <w:t>INDICE</w:t>
      </w:r>
    </w:p>
    <w:sdt>
      <w:sdtPr>
        <w:rPr>
          <w:rFonts w:ascii="Aptos" w:hAnsi="Aptos"/>
          <w:b w:val="0"/>
          <w:bCs w:val="0"/>
          <w:caps w:val="0"/>
          <w:sz w:val="24"/>
          <w:szCs w:val="24"/>
        </w:rPr>
        <w:id w:val="-1558768932"/>
        <w:docPartObj>
          <w:docPartGallery w:val="Table of Contents"/>
          <w:docPartUnique/>
        </w:docPartObj>
      </w:sdtPr>
      <w:sdtContent>
        <w:p w14:paraId="058CD349" w14:textId="75C6AC22" w:rsidR="000F5574" w:rsidRPr="000F5574" w:rsidRDefault="00E924CE">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r w:rsidRPr="000F5574">
            <w:rPr>
              <w:b w:val="0"/>
            </w:rPr>
            <w:fldChar w:fldCharType="begin"/>
          </w:r>
          <w:r w:rsidRPr="000F5574">
            <w:rPr>
              <w:b w:val="0"/>
            </w:rPr>
            <w:instrText xml:space="preserve"> TOC \o "1-3" \h \z \u </w:instrText>
          </w:r>
          <w:r w:rsidRPr="000F5574">
            <w:rPr>
              <w:b w:val="0"/>
            </w:rPr>
            <w:fldChar w:fldCharType="separate"/>
          </w:r>
          <w:hyperlink w:anchor="_Toc202892079" w:history="1">
            <w:r w:rsidR="000F5574" w:rsidRPr="000F5574">
              <w:rPr>
                <w:rStyle w:val="Hipervnculo"/>
                <w:rFonts w:eastAsia="Verdana" w:cs="Verdana"/>
                <w:b w:val="0"/>
                <w:noProof/>
              </w:rPr>
              <w:t>1.</w:t>
            </w:r>
            <w:r w:rsidR="000F5574" w:rsidRPr="000F5574">
              <w:rPr>
                <w:rFonts w:asciiTheme="minorHAnsi" w:eastAsiaTheme="minorEastAsia" w:hAnsiTheme="minorHAnsi" w:cstheme="minorBidi"/>
                <w:b w:val="0"/>
                <w:caps w:val="0"/>
                <w:noProof/>
                <w:kern w:val="2"/>
                <w:sz w:val="24"/>
                <w:szCs w:val="24"/>
                <w14:ligatures w14:val="standardContextual"/>
              </w:rPr>
              <w:tab/>
            </w:r>
            <w:r w:rsidR="000F5574" w:rsidRPr="000F5574">
              <w:rPr>
                <w:rStyle w:val="Hipervnculo"/>
                <w:rFonts w:eastAsia="Verdana" w:cs="Verdana"/>
                <w:b w:val="0"/>
                <w:noProof/>
              </w:rPr>
              <w:t>IDENTIDAD DEL RESPONSABLE DEL SERVICIO</w:t>
            </w:r>
            <w:r w:rsidR="000F5574" w:rsidRPr="000F5574">
              <w:rPr>
                <w:b w:val="0"/>
                <w:noProof/>
                <w:webHidden/>
              </w:rPr>
              <w:tab/>
            </w:r>
            <w:r w:rsidR="000F5574" w:rsidRPr="000F5574">
              <w:rPr>
                <w:b w:val="0"/>
                <w:noProof/>
                <w:webHidden/>
              </w:rPr>
              <w:fldChar w:fldCharType="begin"/>
            </w:r>
            <w:r w:rsidR="000F5574" w:rsidRPr="000F5574">
              <w:rPr>
                <w:b w:val="0"/>
                <w:noProof/>
                <w:webHidden/>
              </w:rPr>
              <w:instrText xml:space="preserve"> PAGEREF _Toc202892079 \h </w:instrText>
            </w:r>
            <w:r w:rsidR="000F5574" w:rsidRPr="000F5574">
              <w:rPr>
                <w:b w:val="0"/>
                <w:noProof/>
                <w:webHidden/>
              </w:rPr>
            </w:r>
            <w:r w:rsidR="000F5574" w:rsidRPr="000F5574">
              <w:rPr>
                <w:b w:val="0"/>
                <w:noProof/>
                <w:webHidden/>
              </w:rPr>
              <w:fldChar w:fldCharType="separate"/>
            </w:r>
            <w:r w:rsidR="000F5574" w:rsidRPr="000F5574">
              <w:rPr>
                <w:b w:val="0"/>
                <w:noProof/>
                <w:webHidden/>
              </w:rPr>
              <w:t>3</w:t>
            </w:r>
            <w:r w:rsidR="000F5574" w:rsidRPr="000F5574">
              <w:rPr>
                <w:b w:val="0"/>
                <w:noProof/>
                <w:webHidden/>
              </w:rPr>
              <w:fldChar w:fldCharType="end"/>
            </w:r>
          </w:hyperlink>
        </w:p>
        <w:p w14:paraId="06924FDF" w14:textId="17300083" w:rsidR="000F5574" w:rsidRPr="000F5574" w:rsidRDefault="000F5574">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0" w:history="1">
            <w:r w:rsidRPr="000F5574">
              <w:rPr>
                <w:rStyle w:val="Hipervnculo"/>
                <w:rFonts w:eastAsia="Verdana" w:cs="Verdana"/>
                <w:b w:val="0"/>
                <w:noProof/>
              </w:rPr>
              <w:t>2.</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NORMATIVA APLICABLE</w:t>
            </w:r>
            <w:r w:rsidRPr="000F5574">
              <w:rPr>
                <w:b w:val="0"/>
                <w:noProof/>
                <w:webHidden/>
              </w:rPr>
              <w:tab/>
            </w:r>
            <w:r w:rsidRPr="000F5574">
              <w:rPr>
                <w:b w:val="0"/>
                <w:noProof/>
                <w:webHidden/>
              </w:rPr>
              <w:fldChar w:fldCharType="begin"/>
            </w:r>
            <w:r w:rsidRPr="000F5574">
              <w:rPr>
                <w:b w:val="0"/>
                <w:noProof/>
                <w:webHidden/>
              </w:rPr>
              <w:instrText xml:space="preserve"> PAGEREF _Toc202892080 \h </w:instrText>
            </w:r>
            <w:r w:rsidRPr="000F5574">
              <w:rPr>
                <w:b w:val="0"/>
                <w:noProof/>
                <w:webHidden/>
              </w:rPr>
            </w:r>
            <w:r w:rsidRPr="000F5574">
              <w:rPr>
                <w:b w:val="0"/>
                <w:noProof/>
                <w:webHidden/>
              </w:rPr>
              <w:fldChar w:fldCharType="separate"/>
            </w:r>
            <w:r w:rsidRPr="000F5574">
              <w:rPr>
                <w:b w:val="0"/>
                <w:noProof/>
                <w:webHidden/>
              </w:rPr>
              <w:t>3</w:t>
            </w:r>
            <w:r w:rsidRPr="000F5574">
              <w:rPr>
                <w:b w:val="0"/>
                <w:noProof/>
                <w:webHidden/>
              </w:rPr>
              <w:fldChar w:fldCharType="end"/>
            </w:r>
          </w:hyperlink>
        </w:p>
        <w:p w14:paraId="360EC1E7" w14:textId="6958451C" w:rsidR="000F5574" w:rsidRPr="000F5574" w:rsidRDefault="000F5574">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1" w:history="1">
            <w:r w:rsidRPr="000F5574">
              <w:rPr>
                <w:rStyle w:val="Hipervnculo"/>
                <w:rFonts w:eastAsia="Verdana" w:cs="Verdana"/>
                <w:b w:val="0"/>
                <w:noProof/>
              </w:rPr>
              <w:t>3.</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DEFINICIONES</w:t>
            </w:r>
            <w:r w:rsidRPr="000F5574">
              <w:rPr>
                <w:b w:val="0"/>
                <w:noProof/>
                <w:webHidden/>
              </w:rPr>
              <w:tab/>
            </w:r>
            <w:r w:rsidRPr="000F5574">
              <w:rPr>
                <w:b w:val="0"/>
                <w:noProof/>
                <w:webHidden/>
              </w:rPr>
              <w:fldChar w:fldCharType="begin"/>
            </w:r>
            <w:r w:rsidRPr="000F5574">
              <w:rPr>
                <w:b w:val="0"/>
                <w:noProof/>
                <w:webHidden/>
              </w:rPr>
              <w:instrText xml:space="preserve"> PAGEREF _Toc202892081 \h </w:instrText>
            </w:r>
            <w:r w:rsidRPr="000F5574">
              <w:rPr>
                <w:b w:val="0"/>
                <w:noProof/>
                <w:webHidden/>
              </w:rPr>
            </w:r>
            <w:r w:rsidRPr="000F5574">
              <w:rPr>
                <w:b w:val="0"/>
                <w:noProof/>
                <w:webHidden/>
              </w:rPr>
              <w:fldChar w:fldCharType="separate"/>
            </w:r>
            <w:r w:rsidRPr="000F5574">
              <w:rPr>
                <w:b w:val="0"/>
                <w:noProof/>
                <w:webHidden/>
              </w:rPr>
              <w:t>3</w:t>
            </w:r>
            <w:r w:rsidRPr="000F5574">
              <w:rPr>
                <w:b w:val="0"/>
                <w:noProof/>
                <w:webHidden/>
              </w:rPr>
              <w:fldChar w:fldCharType="end"/>
            </w:r>
          </w:hyperlink>
        </w:p>
        <w:p w14:paraId="6F3194FB" w14:textId="57C98548" w:rsidR="000F5574" w:rsidRPr="000F5574" w:rsidRDefault="000F5574">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2" w:history="1">
            <w:r w:rsidRPr="000F5574">
              <w:rPr>
                <w:rStyle w:val="Hipervnculo"/>
                <w:rFonts w:eastAsia="Verdana" w:cs="Verdana"/>
                <w:b w:val="0"/>
                <w:noProof/>
              </w:rPr>
              <w:t>4.</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OBJETO Y FUNCIONALIDAD DE LA PLATAFORMA</w:t>
            </w:r>
            <w:r w:rsidRPr="000F5574">
              <w:rPr>
                <w:b w:val="0"/>
                <w:noProof/>
                <w:webHidden/>
              </w:rPr>
              <w:tab/>
            </w:r>
            <w:r w:rsidRPr="000F5574">
              <w:rPr>
                <w:b w:val="0"/>
                <w:noProof/>
                <w:webHidden/>
              </w:rPr>
              <w:fldChar w:fldCharType="begin"/>
            </w:r>
            <w:r w:rsidRPr="000F5574">
              <w:rPr>
                <w:b w:val="0"/>
                <w:noProof/>
                <w:webHidden/>
              </w:rPr>
              <w:instrText xml:space="preserve"> PAGEREF _Toc202892082 \h </w:instrText>
            </w:r>
            <w:r w:rsidRPr="000F5574">
              <w:rPr>
                <w:b w:val="0"/>
                <w:noProof/>
                <w:webHidden/>
              </w:rPr>
            </w:r>
            <w:r w:rsidRPr="000F5574">
              <w:rPr>
                <w:b w:val="0"/>
                <w:noProof/>
                <w:webHidden/>
              </w:rPr>
              <w:fldChar w:fldCharType="separate"/>
            </w:r>
            <w:r w:rsidRPr="000F5574">
              <w:rPr>
                <w:b w:val="0"/>
                <w:noProof/>
                <w:webHidden/>
              </w:rPr>
              <w:t>5</w:t>
            </w:r>
            <w:r w:rsidRPr="000F5574">
              <w:rPr>
                <w:b w:val="0"/>
                <w:noProof/>
                <w:webHidden/>
              </w:rPr>
              <w:fldChar w:fldCharType="end"/>
            </w:r>
          </w:hyperlink>
        </w:p>
        <w:p w14:paraId="5C2D47C2" w14:textId="668213FE" w:rsidR="000F5574" w:rsidRPr="000F5574" w:rsidRDefault="000F5574">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3" w:history="1">
            <w:r w:rsidRPr="000F5574">
              <w:rPr>
                <w:rStyle w:val="Hipervnculo"/>
                <w:rFonts w:eastAsia="Verdana" w:cs="Verdana"/>
                <w:b w:val="0"/>
                <w:noProof/>
              </w:rPr>
              <w:t>5.</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PROCESO DE CONTRATACIÓN Y ONBOARDING</w:t>
            </w:r>
            <w:r w:rsidRPr="000F5574">
              <w:rPr>
                <w:b w:val="0"/>
                <w:noProof/>
                <w:webHidden/>
              </w:rPr>
              <w:tab/>
            </w:r>
            <w:r w:rsidRPr="000F5574">
              <w:rPr>
                <w:b w:val="0"/>
                <w:noProof/>
                <w:webHidden/>
              </w:rPr>
              <w:fldChar w:fldCharType="begin"/>
            </w:r>
            <w:r w:rsidRPr="000F5574">
              <w:rPr>
                <w:b w:val="0"/>
                <w:noProof/>
                <w:webHidden/>
              </w:rPr>
              <w:instrText xml:space="preserve"> PAGEREF _Toc202892083 \h </w:instrText>
            </w:r>
            <w:r w:rsidRPr="000F5574">
              <w:rPr>
                <w:b w:val="0"/>
                <w:noProof/>
                <w:webHidden/>
              </w:rPr>
            </w:r>
            <w:r w:rsidRPr="000F5574">
              <w:rPr>
                <w:b w:val="0"/>
                <w:noProof/>
                <w:webHidden/>
              </w:rPr>
              <w:fldChar w:fldCharType="separate"/>
            </w:r>
            <w:r w:rsidRPr="000F5574">
              <w:rPr>
                <w:b w:val="0"/>
                <w:noProof/>
                <w:webHidden/>
              </w:rPr>
              <w:t>5</w:t>
            </w:r>
            <w:r w:rsidRPr="000F5574">
              <w:rPr>
                <w:b w:val="0"/>
                <w:noProof/>
                <w:webHidden/>
              </w:rPr>
              <w:fldChar w:fldCharType="end"/>
            </w:r>
          </w:hyperlink>
        </w:p>
        <w:p w14:paraId="5026D0F1" w14:textId="410322B3" w:rsidR="000F5574" w:rsidRPr="000F5574" w:rsidRDefault="000F5574">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4" w:history="1">
            <w:r w:rsidRPr="000F5574">
              <w:rPr>
                <w:rStyle w:val="Hipervnculo"/>
                <w:rFonts w:eastAsia="Verdana" w:cs="Verdana"/>
                <w:b w:val="0"/>
                <w:noProof/>
              </w:rPr>
              <w:t>6.</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ADQUISICIÓN DE BONOS TOKENIZADOS MEDIANTE TRD</w:t>
            </w:r>
            <w:r w:rsidRPr="000F5574">
              <w:rPr>
                <w:b w:val="0"/>
                <w:noProof/>
                <w:webHidden/>
              </w:rPr>
              <w:tab/>
            </w:r>
            <w:r w:rsidRPr="000F5574">
              <w:rPr>
                <w:b w:val="0"/>
                <w:noProof/>
                <w:webHidden/>
              </w:rPr>
              <w:fldChar w:fldCharType="begin"/>
            </w:r>
            <w:r w:rsidRPr="000F5574">
              <w:rPr>
                <w:b w:val="0"/>
                <w:noProof/>
                <w:webHidden/>
              </w:rPr>
              <w:instrText xml:space="preserve"> PAGEREF _Toc202892084 \h </w:instrText>
            </w:r>
            <w:r w:rsidRPr="000F5574">
              <w:rPr>
                <w:b w:val="0"/>
                <w:noProof/>
                <w:webHidden/>
              </w:rPr>
            </w:r>
            <w:r w:rsidRPr="000F5574">
              <w:rPr>
                <w:b w:val="0"/>
                <w:noProof/>
                <w:webHidden/>
              </w:rPr>
              <w:fldChar w:fldCharType="separate"/>
            </w:r>
            <w:r w:rsidRPr="000F5574">
              <w:rPr>
                <w:b w:val="0"/>
                <w:noProof/>
                <w:webHidden/>
              </w:rPr>
              <w:t>6</w:t>
            </w:r>
            <w:r w:rsidRPr="000F5574">
              <w:rPr>
                <w:b w:val="0"/>
                <w:noProof/>
                <w:webHidden/>
              </w:rPr>
              <w:fldChar w:fldCharType="end"/>
            </w:r>
          </w:hyperlink>
        </w:p>
        <w:p w14:paraId="7C2A83DD" w14:textId="17D72B7E" w:rsidR="000F5574" w:rsidRPr="000F5574" w:rsidRDefault="000F5574">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5" w:history="1">
            <w:r w:rsidRPr="000F5574">
              <w:rPr>
                <w:rStyle w:val="Hipervnculo"/>
                <w:rFonts w:eastAsia="Verdana" w:cs="Verdana"/>
                <w:b w:val="0"/>
                <w:noProof/>
              </w:rPr>
              <w:t>7.</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PAGO DE LOS INSTRUMENTOS FINANCIEROS E INTERESES</w:t>
            </w:r>
            <w:r w:rsidRPr="000F5574">
              <w:rPr>
                <w:b w:val="0"/>
                <w:noProof/>
                <w:webHidden/>
              </w:rPr>
              <w:tab/>
            </w:r>
            <w:r w:rsidRPr="000F5574">
              <w:rPr>
                <w:b w:val="0"/>
                <w:noProof/>
                <w:webHidden/>
              </w:rPr>
              <w:fldChar w:fldCharType="begin"/>
            </w:r>
            <w:r w:rsidRPr="000F5574">
              <w:rPr>
                <w:b w:val="0"/>
                <w:noProof/>
                <w:webHidden/>
              </w:rPr>
              <w:instrText xml:space="preserve"> PAGEREF _Toc202892085 \h </w:instrText>
            </w:r>
            <w:r w:rsidRPr="000F5574">
              <w:rPr>
                <w:b w:val="0"/>
                <w:noProof/>
                <w:webHidden/>
              </w:rPr>
            </w:r>
            <w:r w:rsidRPr="000F5574">
              <w:rPr>
                <w:b w:val="0"/>
                <w:noProof/>
                <w:webHidden/>
              </w:rPr>
              <w:fldChar w:fldCharType="separate"/>
            </w:r>
            <w:r w:rsidRPr="000F5574">
              <w:rPr>
                <w:b w:val="0"/>
                <w:noProof/>
                <w:webHidden/>
              </w:rPr>
              <w:t>8</w:t>
            </w:r>
            <w:r w:rsidRPr="000F5574">
              <w:rPr>
                <w:b w:val="0"/>
                <w:noProof/>
                <w:webHidden/>
              </w:rPr>
              <w:fldChar w:fldCharType="end"/>
            </w:r>
          </w:hyperlink>
        </w:p>
        <w:p w14:paraId="0611BF15" w14:textId="4F73F4DE" w:rsidR="000F5574" w:rsidRPr="000F5574" w:rsidRDefault="000F5574">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6" w:history="1">
            <w:r w:rsidRPr="000F5574">
              <w:rPr>
                <w:rStyle w:val="Hipervnculo"/>
                <w:rFonts w:eastAsia="Verdana" w:cs="Verdana"/>
                <w:b w:val="0"/>
                <w:noProof/>
              </w:rPr>
              <w:t>8.</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FISCALIDAD, RETENCIONES Y EXONERACIÓN DE RESPONSABILIDAD</w:t>
            </w:r>
            <w:r w:rsidRPr="000F5574">
              <w:rPr>
                <w:b w:val="0"/>
                <w:noProof/>
                <w:webHidden/>
              </w:rPr>
              <w:tab/>
            </w:r>
            <w:r w:rsidRPr="000F5574">
              <w:rPr>
                <w:b w:val="0"/>
                <w:noProof/>
                <w:webHidden/>
              </w:rPr>
              <w:fldChar w:fldCharType="begin"/>
            </w:r>
            <w:r w:rsidRPr="000F5574">
              <w:rPr>
                <w:b w:val="0"/>
                <w:noProof/>
                <w:webHidden/>
              </w:rPr>
              <w:instrText xml:space="preserve"> PAGEREF _Toc202892086 \h </w:instrText>
            </w:r>
            <w:r w:rsidRPr="000F5574">
              <w:rPr>
                <w:b w:val="0"/>
                <w:noProof/>
                <w:webHidden/>
              </w:rPr>
            </w:r>
            <w:r w:rsidRPr="000F5574">
              <w:rPr>
                <w:b w:val="0"/>
                <w:noProof/>
                <w:webHidden/>
              </w:rPr>
              <w:fldChar w:fldCharType="separate"/>
            </w:r>
            <w:r w:rsidRPr="000F5574">
              <w:rPr>
                <w:b w:val="0"/>
                <w:noProof/>
                <w:webHidden/>
              </w:rPr>
              <w:t>8</w:t>
            </w:r>
            <w:r w:rsidRPr="000F5574">
              <w:rPr>
                <w:b w:val="0"/>
                <w:noProof/>
                <w:webHidden/>
              </w:rPr>
              <w:fldChar w:fldCharType="end"/>
            </w:r>
          </w:hyperlink>
        </w:p>
        <w:p w14:paraId="71DC3D9A" w14:textId="5C8E8690" w:rsidR="000F5574" w:rsidRPr="000F5574" w:rsidRDefault="000F5574">
          <w:pPr>
            <w:pStyle w:val="TDC1"/>
            <w:tabs>
              <w:tab w:val="left" w:pos="48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7" w:history="1">
            <w:r w:rsidRPr="000F5574">
              <w:rPr>
                <w:rStyle w:val="Hipervnculo"/>
                <w:rFonts w:eastAsia="Verdana" w:cs="Verdana"/>
                <w:b w:val="0"/>
                <w:noProof/>
              </w:rPr>
              <w:t>9.</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COMISIONES Y GASTOS</w:t>
            </w:r>
            <w:r w:rsidRPr="000F5574">
              <w:rPr>
                <w:b w:val="0"/>
                <w:noProof/>
                <w:webHidden/>
              </w:rPr>
              <w:tab/>
            </w:r>
            <w:r w:rsidRPr="000F5574">
              <w:rPr>
                <w:b w:val="0"/>
                <w:noProof/>
                <w:webHidden/>
              </w:rPr>
              <w:fldChar w:fldCharType="begin"/>
            </w:r>
            <w:r w:rsidRPr="000F5574">
              <w:rPr>
                <w:b w:val="0"/>
                <w:noProof/>
                <w:webHidden/>
              </w:rPr>
              <w:instrText xml:space="preserve"> PAGEREF _Toc202892087 \h </w:instrText>
            </w:r>
            <w:r w:rsidRPr="000F5574">
              <w:rPr>
                <w:b w:val="0"/>
                <w:noProof/>
                <w:webHidden/>
              </w:rPr>
            </w:r>
            <w:r w:rsidRPr="000F5574">
              <w:rPr>
                <w:b w:val="0"/>
                <w:noProof/>
                <w:webHidden/>
              </w:rPr>
              <w:fldChar w:fldCharType="separate"/>
            </w:r>
            <w:r w:rsidRPr="000F5574">
              <w:rPr>
                <w:b w:val="0"/>
                <w:noProof/>
                <w:webHidden/>
              </w:rPr>
              <w:t>10</w:t>
            </w:r>
            <w:r w:rsidRPr="000F5574">
              <w:rPr>
                <w:b w:val="0"/>
                <w:noProof/>
                <w:webHidden/>
              </w:rPr>
              <w:fldChar w:fldCharType="end"/>
            </w:r>
          </w:hyperlink>
        </w:p>
        <w:p w14:paraId="293426E5" w14:textId="74F3F0DA"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8" w:history="1">
            <w:r w:rsidRPr="000F5574">
              <w:rPr>
                <w:rStyle w:val="Hipervnculo"/>
                <w:rFonts w:eastAsia="Verdana" w:cs="Verdana"/>
                <w:b w:val="0"/>
                <w:noProof/>
              </w:rPr>
              <w:t>10.</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GOBERNANZA TÉCNICA Y RECUPERACIÓN DE ACCESO</w:t>
            </w:r>
            <w:r w:rsidRPr="000F5574">
              <w:rPr>
                <w:b w:val="0"/>
                <w:noProof/>
                <w:webHidden/>
              </w:rPr>
              <w:tab/>
            </w:r>
            <w:r w:rsidRPr="000F5574">
              <w:rPr>
                <w:b w:val="0"/>
                <w:noProof/>
                <w:webHidden/>
              </w:rPr>
              <w:fldChar w:fldCharType="begin"/>
            </w:r>
            <w:r w:rsidRPr="000F5574">
              <w:rPr>
                <w:b w:val="0"/>
                <w:noProof/>
                <w:webHidden/>
              </w:rPr>
              <w:instrText xml:space="preserve"> PAGEREF _Toc202892088 \h </w:instrText>
            </w:r>
            <w:r w:rsidRPr="000F5574">
              <w:rPr>
                <w:b w:val="0"/>
                <w:noProof/>
                <w:webHidden/>
              </w:rPr>
            </w:r>
            <w:r w:rsidRPr="000F5574">
              <w:rPr>
                <w:b w:val="0"/>
                <w:noProof/>
                <w:webHidden/>
              </w:rPr>
              <w:fldChar w:fldCharType="separate"/>
            </w:r>
            <w:r w:rsidRPr="000F5574">
              <w:rPr>
                <w:b w:val="0"/>
                <w:noProof/>
                <w:webHidden/>
              </w:rPr>
              <w:t>10</w:t>
            </w:r>
            <w:r w:rsidRPr="000F5574">
              <w:rPr>
                <w:b w:val="0"/>
                <w:noProof/>
                <w:webHidden/>
              </w:rPr>
              <w:fldChar w:fldCharType="end"/>
            </w:r>
          </w:hyperlink>
        </w:p>
        <w:p w14:paraId="50C4F2E3" w14:textId="3993DA6E"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89" w:history="1">
            <w:r w:rsidRPr="000F5574">
              <w:rPr>
                <w:rStyle w:val="Hipervnculo"/>
                <w:rFonts w:eastAsia="Verdana" w:cs="Verdana"/>
                <w:b w:val="0"/>
                <w:noProof/>
              </w:rPr>
              <w:t>11.</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CONDICIONES PARTICULARES DE CADA EMISIÓN</w:t>
            </w:r>
            <w:r w:rsidRPr="000F5574">
              <w:rPr>
                <w:b w:val="0"/>
                <w:noProof/>
                <w:webHidden/>
              </w:rPr>
              <w:tab/>
            </w:r>
            <w:r w:rsidRPr="000F5574">
              <w:rPr>
                <w:b w:val="0"/>
                <w:noProof/>
                <w:webHidden/>
              </w:rPr>
              <w:fldChar w:fldCharType="begin"/>
            </w:r>
            <w:r w:rsidRPr="000F5574">
              <w:rPr>
                <w:b w:val="0"/>
                <w:noProof/>
                <w:webHidden/>
              </w:rPr>
              <w:instrText xml:space="preserve"> PAGEREF _Toc202892089 \h </w:instrText>
            </w:r>
            <w:r w:rsidRPr="000F5574">
              <w:rPr>
                <w:b w:val="0"/>
                <w:noProof/>
                <w:webHidden/>
              </w:rPr>
            </w:r>
            <w:r w:rsidRPr="000F5574">
              <w:rPr>
                <w:b w:val="0"/>
                <w:noProof/>
                <w:webHidden/>
              </w:rPr>
              <w:fldChar w:fldCharType="separate"/>
            </w:r>
            <w:r w:rsidRPr="000F5574">
              <w:rPr>
                <w:b w:val="0"/>
                <w:noProof/>
                <w:webHidden/>
              </w:rPr>
              <w:t>11</w:t>
            </w:r>
            <w:r w:rsidRPr="000F5574">
              <w:rPr>
                <w:b w:val="0"/>
                <w:noProof/>
                <w:webHidden/>
              </w:rPr>
              <w:fldChar w:fldCharType="end"/>
            </w:r>
          </w:hyperlink>
        </w:p>
        <w:p w14:paraId="2EA6C42F" w14:textId="4FF2D23E"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90" w:history="1">
            <w:r w:rsidRPr="000F5574">
              <w:rPr>
                <w:rStyle w:val="Hipervnculo"/>
                <w:rFonts w:eastAsia="Verdana" w:cs="Verdana"/>
                <w:b w:val="0"/>
                <w:noProof/>
              </w:rPr>
              <w:t>12.</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DERECHOS Y LIMITACIONES DE USO</w:t>
            </w:r>
            <w:r w:rsidRPr="000F5574">
              <w:rPr>
                <w:b w:val="0"/>
                <w:noProof/>
                <w:webHidden/>
              </w:rPr>
              <w:tab/>
            </w:r>
            <w:r w:rsidRPr="000F5574">
              <w:rPr>
                <w:b w:val="0"/>
                <w:noProof/>
                <w:webHidden/>
              </w:rPr>
              <w:fldChar w:fldCharType="begin"/>
            </w:r>
            <w:r w:rsidRPr="000F5574">
              <w:rPr>
                <w:b w:val="0"/>
                <w:noProof/>
                <w:webHidden/>
              </w:rPr>
              <w:instrText xml:space="preserve"> PAGEREF _Toc202892090 \h </w:instrText>
            </w:r>
            <w:r w:rsidRPr="000F5574">
              <w:rPr>
                <w:b w:val="0"/>
                <w:noProof/>
                <w:webHidden/>
              </w:rPr>
            </w:r>
            <w:r w:rsidRPr="000F5574">
              <w:rPr>
                <w:b w:val="0"/>
                <w:noProof/>
                <w:webHidden/>
              </w:rPr>
              <w:fldChar w:fldCharType="separate"/>
            </w:r>
            <w:r w:rsidRPr="000F5574">
              <w:rPr>
                <w:b w:val="0"/>
                <w:noProof/>
                <w:webHidden/>
              </w:rPr>
              <w:t>11</w:t>
            </w:r>
            <w:r w:rsidRPr="000F5574">
              <w:rPr>
                <w:b w:val="0"/>
                <w:noProof/>
                <w:webHidden/>
              </w:rPr>
              <w:fldChar w:fldCharType="end"/>
            </w:r>
          </w:hyperlink>
        </w:p>
        <w:p w14:paraId="4EC1111F" w14:textId="751A6CD9"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91" w:history="1">
            <w:r w:rsidRPr="000F5574">
              <w:rPr>
                <w:rStyle w:val="Hipervnculo"/>
                <w:rFonts w:eastAsia="Verdana" w:cs="Verdana"/>
                <w:b w:val="0"/>
                <w:noProof/>
              </w:rPr>
              <w:t>13.</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PROTECCIÓN DE DATOS</w:t>
            </w:r>
            <w:r w:rsidRPr="000F5574">
              <w:rPr>
                <w:b w:val="0"/>
                <w:noProof/>
                <w:webHidden/>
              </w:rPr>
              <w:tab/>
            </w:r>
            <w:r w:rsidRPr="000F5574">
              <w:rPr>
                <w:b w:val="0"/>
                <w:noProof/>
                <w:webHidden/>
              </w:rPr>
              <w:fldChar w:fldCharType="begin"/>
            </w:r>
            <w:r w:rsidRPr="000F5574">
              <w:rPr>
                <w:b w:val="0"/>
                <w:noProof/>
                <w:webHidden/>
              </w:rPr>
              <w:instrText xml:space="preserve"> PAGEREF _Toc202892091 \h </w:instrText>
            </w:r>
            <w:r w:rsidRPr="000F5574">
              <w:rPr>
                <w:b w:val="0"/>
                <w:noProof/>
                <w:webHidden/>
              </w:rPr>
            </w:r>
            <w:r w:rsidRPr="000F5574">
              <w:rPr>
                <w:b w:val="0"/>
                <w:noProof/>
                <w:webHidden/>
              </w:rPr>
              <w:fldChar w:fldCharType="separate"/>
            </w:r>
            <w:r w:rsidRPr="000F5574">
              <w:rPr>
                <w:b w:val="0"/>
                <w:noProof/>
                <w:webHidden/>
              </w:rPr>
              <w:t>11</w:t>
            </w:r>
            <w:r w:rsidRPr="000F5574">
              <w:rPr>
                <w:b w:val="0"/>
                <w:noProof/>
                <w:webHidden/>
              </w:rPr>
              <w:fldChar w:fldCharType="end"/>
            </w:r>
          </w:hyperlink>
        </w:p>
        <w:p w14:paraId="5FBAA821" w14:textId="44D8BC1E"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92" w:history="1">
            <w:r w:rsidRPr="000F5574">
              <w:rPr>
                <w:rStyle w:val="Hipervnculo"/>
                <w:rFonts w:eastAsia="Verdana" w:cs="Verdana"/>
                <w:b w:val="0"/>
                <w:noProof/>
              </w:rPr>
              <w:t>14.</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PREVENCIÓN DE BLANQUEO DE CAPITALES Y FINANCIACIÓN DEL TERRORISMO (PBC/FT)</w:t>
            </w:r>
            <w:r w:rsidRPr="000F5574">
              <w:rPr>
                <w:b w:val="0"/>
                <w:noProof/>
                <w:webHidden/>
              </w:rPr>
              <w:tab/>
            </w:r>
            <w:r w:rsidRPr="000F5574">
              <w:rPr>
                <w:b w:val="0"/>
                <w:noProof/>
                <w:webHidden/>
              </w:rPr>
              <w:fldChar w:fldCharType="begin"/>
            </w:r>
            <w:r w:rsidRPr="000F5574">
              <w:rPr>
                <w:b w:val="0"/>
                <w:noProof/>
                <w:webHidden/>
              </w:rPr>
              <w:instrText xml:space="preserve"> PAGEREF _Toc202892092 \h </w:instrText>
            </w:r>
            <w:r w:rsidRPr="000F5574">
              <w:rPr>
                <w:b w:val="0"/>
                <w:noProof/>
                <w:webHidden/>
              </w:rPr>
            </w:r>
            <w:r w:rsidRPr="000F5574">
              <w:rPr>
                <w:b w:val="0"/>
                <w:noProof/>
                <w:webHidden/>
              </w:rPr>
              <w:fldChar w:fldCharType="separate"/>
            </w:r>
            <w:r w:rsidRPr="000F5574">
              <w:rPr>
                <w:b w:val="0"/>
                <w:noProof/>
                <w:webHidden/>
              </w:rPr>
              <w:t>14</w:t>
            </w:r>
            <w:r w:rsidRPr="000F5574">
              <w:rPr>
                <w:b w:val="0"/>
                <w:noProof/>
                <w:webHidden/>
              </w:rPr>
              <w:fldChar w:fldCharType="end"/>
            </w:r>
          </w:hyperlink>
        </w:p>
        <w:p w14:paraId="16D0D9F9" w14:textId="5A244552"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93" w:history="1">
            <w:r w:rsidRPr="000F5574">
              <w:rPr>
                <w:rStyle w:val="Hipervnculo"/>
                <w:rFonts w:eastAsia="Verdana" w:cs="Verdana"/>
                <w:b w:val="0"/>
                <w:noProof/>
              </w:rPr>
              <w:t>15.</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MIGRACIÓN Y TRASPASO DE POSICIONES</w:t>
            </w:r>
            <w:r w:rsidRPr="000F5574">
              <w:rPr>
                <w:b w:val="0"/>
                <w:noProof/>
                <w:webHidden/>
              </w:rPr>
              <w:tab/>
            </w:r>
            <w:r w:rsidRPr="000F5574">
              <w:rPr>
                <w:b w:val="0"/>
                <w:noProof/>
                <w:webHidden/>
              </w:rPr>
              <w:fldChar w:fldCharType="begin"/>
            </w:r>
            <w:r w:rsidRPr="000F5574">
              <w:rPr>
                <w:b w:val="0"/>
                <w:noProof/>
                <w:webHidden/>
              </w:rPr>
              <w:instrText xml:space="preserve"> PAGEREF _Toc202892093 \h </w:instrText>
            </w:r>
            <w:r w:rsidRPr="000F5574">
              <w:rPr>
                <w:b w:val="0"/>
                <w:noProof/>
                <w:webHidden/>
              </w:rPr>
            </w:r>
            <w:r w:rsidRPr="000F5574">
              <w:rPr>
                <w:b w:val="0"/>
                <w:noProof/>
                <w:webHidden/>
              </w:rPr>
              <w:fldChar w:fldCharType="separate"/>
            </w:r>
            <w:r w:rsidRPr="000F5574">
              <w:rPr>
                <w:b w:val="0"/>
                <w:noProof/>
                <w:webHidden/>
              </w:rPr>
              <w:t>14</w:t>
            </w:r>
            <w:r w:rsidRPr="000F5574">
              <w:rPr>
                <w:b w:val="0"/>
                <w:noProof/>
                <w:webHidden/>
              </w:rPr>
              <w:fldChar w:fldCharType="end"/>
            </w:r>
          </w:hyperlink>
        </w:p>
        <w:p w14:paraId="6546F315" w14:textId="38062919"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94" w:history="1">
            <w:r w:rsidRPr="000F5574">
              <w:rPr>
                <w:rStyle w:val="Hipervnculo"/>
                <w:rFonts w:eastAsia="Verdana" w:cs="Verdana"/>
                <w:b w:val="0"/>
                <w:noProof/>
              </w:rPr>
              <w:t>16.</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MODIFICACIONES DE LAS CONDICIONES GENERALES DE LA CONTRATACIÓN</w:t>
            </w:r>
            <w:r w:rsidRPr="000F5574">
              <w:rPr>
                <w:b w:val="0"/>
                <w:noProof/>
                <w:webHidden/>
              </w:rPr>
              <w:tab/>
            </w:r>
            <w:r w:rsidRPr="000F5574">
              <w:rPr>
                <w:b w:val="0"/>
                <w:noProof/>
                <w:webHidden/>
              </w:rPr>
              <w:fldChar w:fldCharType="begin"/>
            </w:r>
            <w:r w:rsidRPr="000F5574">
              <w:rPr>
                <w:b w:val="0"/>
                <w:noProof/>
                <w:webHidden/>
              </w:rPr>
              <w:instrText xml:space="preserve"> PAGEREF _Toc202892094 \h </w:instrText>
            </w:r>
            <w:r w:rsidRPr="000F5574">
              <w:rPr>
                <w:b w:val="0"/>
                <w:noProof/>
                <w:webHidden/>
              </w:rPr>
            </w:r>
            <w:r w:rsidRPr="000F5574">
              <w:rPr>
                <w:b w:val="0"/>
                <w:noProof/>
                <w:webHidden/>
              </w:rPr>
              <w:fldChar w:fldCharType="separate"/>
            </w:r>
            <w:r w:rsidRPr="000F5574">
              <w:rPr>
                <w:b w:val="0"/>
                <w:noProof/>
                <w:webHidden/>
              </w:rPr>
              <w:t>15</w:t>
            </w:r>
            <w:r w:rsidRPr="000F5574">
              <w:rPr>
                <w:b w:val="0"/>
                <w:noProof/>
                <w:webHidden/>
              </w:rPr>
              <w:fldChar w:fldCharType="end"/>
            </w:r>
          </w:hyperlink>
        </w:p>
        <w:p w14:paraId="6DE84D5C" w14:textId="07AEAF3A"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95" w:history="1">
            <w:r w:rsidRPr="000F5574">
              <w:rPr>
                <w:rStyle w:val="Hipervnculo"/>
                <w:rFonts w:eastAsia="Verdana" w:cs="Verdana"/>
                <w:b w:val="0"/>
                <w:noProof/>
              </w:rPr>
              <w:t>17.</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LEGISLACIÓN APLICABLE Y JURISDICCIÓN</w:t>
            </w:r>
            <w:r w:rsidRPr="000F5574">
              <w:rPr>
                <w:b w:val="0"/>
                <w:noProof/>
                <w:webHidden/>
              </w:rPr>
              <w:tab/>
            </w:r>
            <w:r w:rsidRPr="000F5574">
              <w:rPr>
                <w:b w:val="0"/>
                <w:noProof/>
                <w:webHidden/>
              </w:rPr>
              <w:fldChar w:fldCharType="begin"/>
            </w:r>
            <w:r w:rsidRPr="000F5574">
              <w:rPr>
                <w:b w:val="0"/>
                <w:noProof/>
                <w:webHidden/>
              </w:rPr>
              <w:instrText xml:space="preserve"> PAGEREF _Toc202892095 \h </w:instrText>
            </w:r>
            <w:r w:rsidRPr="000F5574">
              <w:rPr>
                <w:b w:val="0"/>
                <w:noProof/>
                <w:webHidden/>
              </w:rPr>
            </w:r>
            <w:r w:rsidRPr="000F5574">
              <w:rPr>
                <w:b w:val="0"/>
                <w:noProof/>
                <w:webHidden/>
              </w:rPr>
              <w:fldChar w:fldCharType="separate"/>
            </w:r>
            <w:r w:rsidRPr="000F5574">
              <w:rPr>
                <w:b w:val="0"/>
                <w:noProof/>
                <w:webHidden/>
              </w:rPr>
              <w:t>15</w:t>
            </w:r>
            <w:r w:rsidRPr="000F5574">
              <w:rPr>
                <w:b w:val="0"/>
                <w:noProof/>
                <w:webHidden/>
              </w:rPr>
              <w:fldChar w:fldCharType="end"/>
            </w:r>
          </w:hyperlink>
        </w:p>
        <w:p w14:paraId="03ECAF5F" w14:textId="312D4F9B" w:rsidR="000F5574" w:rsidRPr="000F5574" w:rsidRDefault="000F5574">
          <w:pPr>
            <w:pStyle w:val="TDC1"/>
            <w:tabs>
              <w:tab w:val="left" w:pos="720"/>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02892096" w:history="1">
            <w:r w:rsidRPr="000F5574">
              <w:rPr>
                <w:rStyle w:val="Hipervnculo"/>
                <w:rFonts w:eastAsia="Verdana" w:cs="Verdana"/>
                <w:b w:val="0"/>
                <w:noProof/>
              </w:rPr>
              <w:t>18.</w:t>
            </w:r>
            <w:r w:rsidRPr="000F5574">
              <w:rPr>
                <w:rFonts w:asciiTheme="minorHAnsi" w:eastAsiaTheme="minorEastAsia" w:hAnsiTheme="minorHAnsi" w:cstheme="minorBidi"/>
                <w:b w:val="0"/>
                <w:caps w:val="0"/>
                <w:noProof/>
                <w:kern w:val="2"/>
                <w:sz w:val="24"/>
                <w:szCs w:val="24"/>
                <w14:ligatures w14:val="standardContextual"/>
              </w:rPr>
              <w:tab/>
            </w:r>
            <w:r w:rsidRPr="000F5574">
              <w:rPr>
                <w:rStyle w:val="Hipervnculo"/>
                <w:rFonts w:eastAsia="Verdana" w:cs="Verdana"/>
                <w:b w:val="0"/>
                <w:noProof/>
              </w:rPr>
              <w:t>CONTACTO</w:t>
            </w:r>
            <w:r w:rsidRPr="000F5574">
              <w:rPr>
                <w:b w:val="0"/>
                <w:noProof/>
                <w:webHidden/>
              </w:rPr>
              <w:tab/>
            </w:r>
            <w:r w:rsidRPr="000F5574">
              <w:rPr>
                <w:b w:val="0"/>
                <w:noProof/>
                <w:webHidden/>
              </w:rPr>
              <w:fldChar w:fldCharType="begin"/>
            </w:r>
            <w:r w:rsidRPr="000F5574">
              <w:rPr>
                <w:b w:val="0"/>
                <w:noProof/>
                <w:webHidden/>
              </w:rPr>
              <w:instrText xml:space="preserve"> PAGEREF _Toc202892096 \h </w:instrText>
            </w:r>
            <w:r w:rsidRPr="000F5574">
              <w:rPr>
                <w:b w:val="0"/>
                <w:noProof/>
                <w:webHidden/>
              </w:rPr>
            </w:r>
            <w:r w:rsidRPr="000F5574">
              <w:rPr>
                <w:b w:val="0"/>
                <w:noProof/>
                <w:webHidden/>
              </w:rPr>
              <w:fldChar w:fldCharType="separate"/>
            </w:r>
            <w:r w:rsidRPr="000F5574">
              <w:rPr>
                <w:b w:val="0"/>
                <w:noProof/>
                <w:webHidden/>
              </w:rPr>
              <w:t>15</w:t>
            </w:r>
            <w:r w:rsidRPr="000F5574">
              <w:rPr>
                <w:b w:val="0"/>
                <w:noProof/>
                <w:webHidden/>
              </w:rPr>
              <w:fldChar w:fldCharType="end"/>
            </w:r>
          </w:hyperlink>
        </w:p>
        <w:p w14:paraId="0000001E" w14:textId="2A108709" w:rsidR="006E1E13" w:rsidRDefault="00E924CE">
          <w:pPr>
            <w:spacing w:before="240" w:after="240" w:line="360" w:lineRule="auto"/>
            <w:jc w:val="both"/>
            <w:rPr>
              <w:rFonts w:ascii="Verdana" w:eastAsia="Verdana" w:hAnsi="Verdana" w:cs="Verdana"/>
            </w:rPr>
          </w:pPr>
          <w:r w:rsidRPr="000F5574">
            <w:rPr>
              <w:bCs/>
            </w:rPr>
            <w:fldChar w:fldCharType="end"/>
          </w:r>
        </w:p>
      </w:sdtContent>
    </w:sdt>
    <w:p w14:paraId="0000001F" w14:textId="77777777" w:rsidR="006E1E13" w:rsidRDefault="00E924CE">
      <w:pPr>
        <w:spacing w:before="240" w:after="240" w:line="360" w:lineRule="auto"/>
        <w:rPr>
          <w:rFonts w:ascii="Verdana" w:eastAsia="Verdana" w:hAnsi="Verdana" w:cs="Verdana"/>
          <w:sz w:val="20"/>
          <w:szCs w:val="20"/>
        </w:rPr>
      </w:pPr>
      <w:r>
        <w:br w:type="page"/>
      </w:r>
    </w:p>
    <w:p w14:paraId="00000020" w14:textId="77777777" w:rsidR="006E1E13" w:rsidRDefault="00E924CE">
      <w:pPr>
        <w:pStyle w:val="Ttulo1"/>
        <w:numPr>
          <w:ilvl w:val="0"/>
          <w:numId w:val="2"/>
        </w:numPr>
        <w:spacing w:before="240" w:after="240" w:line="360" w:lineRule="auto"/>
        <w:rPr>
          <w:rFonts w:ascii="Verdana" w:eastAsia="Verdana" w:hAnsi="Verdana" w:cs="Verdana"/>
          <w:b/>
          <w:sz w:val="20"/>
          <w:szCs w:val="20"/>
        </w:rPr>
      </w:pPr>
      <w:bookmarkStart w:id="0" w:name="_Toc202892079"/>
      <w:r>
        <w:rPr>
          <w:rFonts w:ascii="Verdana" w:eastAsia="Verdana" w:hAnsi="Verdana" w:cs="Verdana"/>
          <w:b/>
          <w:color w:val="000000"/>
          <w:sz w:val="20"/>
          <w:szCs w:val="20"/>
        </w:rPr>
        <w:lastRenderedPageBreak/>
        <w:t>IDENTIDAD DEL RESPONSABLE DEL SERVICIO</w:t>
      </w:r>
      <w:bookmarkEnd w:id="0"/>
    </w:p>
    <w:tbl>
      <w:tblPr>
        <w:tblW w:w="849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328"/>
        <w:gridCol w:w="5171"/>
      </w:tblGrid>
      <w:tr w:rsidR="006E1E13" w14:paraId="6A4A68C8" w14:textId="77777777">
        <w:trPr>
          <w:trHeight w:val="365"/>
        </w:trPr>
        <w:tc>
          <w:tcPr>
            <w:tcW w:w="33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0000021" w14:textId="77777777" w:rsidR="006E1E13" w:rsidRDefault="00E924CE">
            <w:pPr>
              <w:spacing w:before="240" w:after="24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Denominación:</w:t>
            </w:r>
          </w:p>
        </w:tc>
        <w:tc>
          <w:tcPr>
            <w:tcW w:w="5171" w:type="dxa"/>
            <w:tcBorders>
              <w:top w:val="single" w:sz="4" w:space="0" w:color="FFFFFF"/>
              <w:left w:val="single" w:sz="4" w:space="0" w:color="FFFFFF"/>
              <w:bottom w:val="single" w:sz="4" w:space="0" w:color="FFFFFF"/>
              <w:right w:val="single" w:sz="4" w:space="0" w:color="FFFFFF"/>
            </w:tcBorders>
            <w:shd w:val="clear" w:color="auto" w:fill="FAE2D6"/>
            <w:vAlign w:val="center"/>
          </w:tcPr>
          <w:p w14:paraId="00000022" w14:textId="4FD27653" w:rsidR="006E1E13" w:rsidRDefault="00EF3291">
            <w:pPr>
              <w:widowControl w:val="0"/>
              <w:spacing w:before="240" w:after="240" w:line="360" w:lineRule="auto"/>
              <w:jc w:val="both"/>
              <w:rPr>
                <w:rFonts w:ascii="Verdana" w:eastAsia="Verdana" w:hAnsi="Verdana" w:cs="Verdana"/>
                <w:b/>
                <w:sz w:val="20"/>
                <w:szCs w:val="20"/>
              </w:rPr>
            </w:pPr>
            <w:r>
              <w:rPr>
                <w:rFonts w:ascii="Verdana" w:eastAsia="Verdana" w:hAnsi="Verdana" w:cs="Verdana"/>
                <w:b/>
                <w:sz w:val="20"/>
                <w:szCs w:val="20"/>
              </w:rPr>
              <w:t>VALORIX DIGITAL</w:t>
            </w:r>
            <w:r w:rsidR="00E924CE">
              <w:rPr>
                <w:rFonts w:ascii="Verdana" w:eastAsia="Verdana" w:hAnsi="Verdana" w:cs="Verdana"/>
                <w:b/>
                <w:sz w:val="20"/>
                <w:szCs w:val="20"/>
              </w:rPr>
              <w:t>, S.A.</w:t>
            </w:r>
            <w:r w:rsidR="0087733F">
              <w:rPr>
                <w:rFonts w:ascii="Verdana" w:eastAsia="Verdana" w:hAnsi="Verdana" w:cs="Verdana"/>
                <w:b/>
                <w:sz w:val="20"/>
                <w:szCs w:val="20"/>
              </w:rPr>
              <w:t xml:space="preserve"> (VALORIX)</w:t>
            </w:r>
          </w:p>
        </w:tc>
      </w:tr>
      <w:tr w:rsidR="006E1E13" w14:paraId="43A2A4C3" w14:textId="77777777">
        <w:trPr>
          <w:trHeight w:val="365"/>
        </w:trPr>
        <w:tc>
          <w:tcPr>
            <w:tcW w:w="33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0000023" w14:textId="77777777" w:rsidR="006E1E13" w:rsidRDefault="00E924CE">
            <w:pPr>
              <w:spacing w:before="240" w:after="24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Nombre Comercial</w:t>
            </w:r>
          </w:p>
        </w:tc>
        <w:tc>
          <w:tcPr>
            <w:tcW w:w="5171" w:type="dxa"/>
            <w:tcBorders>
              <w:top w:val="single" w:sz="4" w:space="0" w:color="FFFFFF"/>
              <w:left w:val="single" w:sz="4" w:space="0" w:color="FFFFFF"/>
              <w:bottom w:val="single" w:sz="4" w:space="0" w:color="FFFFFF"/>
              <w:right w:val="single" w:sz="4" w:space="0" w:color="FFFFFF"/>
            </w:tcBorders>
            <w:shd w:val="clear" w:color="auto" w:fill="FAE2D6"/>
            <w:vAlign w:val="center"/>
          </w:tcPr>
          <w:p w14:paraId="00000024" w14:textId="77777777" w:rsidR="006E1E13" w:rsidRDefault="00E924CE">
            <w:pPr>
              <w:widowControl w:val="0"/>
              <w:spacing w:before="240" w:after="240" w:line="360" w:lineRule="auto"/>
              <w:jc w:val="both"/>
              <w:rPr>
                <w:rFonts w:ascii="Verdana" w:eastAsia="Verdana" w:hAnsi="Verdana" w:cs="Verdana"/>
                <w:sz w:val="20"/>
                <w:szCs w:val="20"/>
              </w:rPr>
            </w:pPr>
            <w:r>
              <w:rPr>
                <w:rFonts w:ascii="Verdana" w:eastAsia="Verdana" w:hAnsi="Verdana" w:cs="Verdana"/>
                <w:sz w:val="20"/>
                <w:szCs w:val="20"/>
              </w:rPr>
              <w:t>VALORIX</w:t>
            </w:r>
          </w:p>
        </w:tc>
      </w:tr>
      <w:tr w:rsidR="006E1E13" w14:paraId="51979A17" w14:textId="77777777">
        <w:trPr>
          <w:trHeight w:val="329"/>
        </w:trPr>
        <w:tc>
          <w:tcPr>
            <w:tcW w:w="33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0000025" w14:textId="77777777" w:rsidR="006E1E13" w:rsidRDefault="00E924CE">
            <w:pPr>
              <w:spacing w:before="240" w:after="24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Número de Identificación Fiscal:</w:t>
            </w:r>
          </w:p>
        </w:tc>
        <w:tc>
          <w:tcPr>
            <w:tcW w:w="5171" w:type="dxa"/>
            <w:tcBorders>
              <w:top w:val="single" w:sz="4" w:space="0" w:color="FFFFFF"/>
              <w:left w:val="single" w:sz="4" w:space="0" w:color="FFFFFF"/>
              <w:bottom w:val="single" w:sz="4" w:space="0" w:color="FFFFFF"/>
              <w:right w:val="single" w:sz="4" w:space="0" w:color="FFFFFF"/>
            </w:tcBorders>
            <w:shd w:val="clear" w:color="auto" w:fill="FAE2D6"/>
            <w:vAlign w:val="center"/>
          </w:tcPr>
          <w:p w14:paraId="00000026" w14:textId="598E6716" w:rsidR="006E1E13" w:rsidRPr="00FF56E8" w:rsidRDefault="00FF56E8">
            <w:pPr>
              <w:widowControl w:val="0"/>
              <w:spacing w:before="240" w:after="240" w:line="360" w:lineRule="auto"/>
              <w:jc w:val="both"/>
              <w:rPr>
                <w:rFonts w:ascii="Verdana" w:eastAsia="Verdana" w:hAnsi="Verdana" w:cs="Verdana"/>
                <w:color w:val="000000"/>
                <w:sz w:val="20"/>
                <w:szCs w:val="20"/>
              </w:rPr>
            </w:pPr>
            <w:r w:rsidRPr="00FF56E8">
              <w:rPr>
                <w:rStyle w:val="normaltextrun"/>
                <w:rFonts w:ascii="Verdana" w:hAnsi="Verdana" w:cs="Arial"/>
                <w:color w:val="000000"/>
                <w:sz w:val="20"/>
                <w:szCs w:val="20"/>
                <w:bdr w:val="none" w:sz="0" w:space="0" w:color="auto" w:frame="1"/>
              </w:rPr>
              <w:t>A19952605</w:t>
            </w:r>
          </w:p>
        </w:tc>
      </w:tr>
      <w:tr w:rsidR="006E1E13" w14:paraId="3FFF489C" w14:textId="77777777">
        <w:trPr>
          <w:trHeight w:val="329"/>
        </w:trPr>
        <w:tc>
          <w:tcPr>
            <w:tcW w:w="33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0000027" w14:textId="77777777" w:rsidR="006E1E13" w:rsidRDefault="00E924CE">
            <w:pPr>
              <w:spacing w:before="240" w:after="24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Registro Mercantil y Código LEI</w:t>
            </w:r>
          </w:p>
        </w:tc>
        <w:tc>
          <w:tcPr>
            <w:tcW w:w="5171" w:type="dxa"/>
            <w:tcBorders>
              <w:top w:val="single" w:sz="4" w:space="0" w:color="FFFFFF"/>
              <w:left w:val="single" w:sz="4" w:space="0" w:color="FFFFFF"/>
              <w:bottom w:val="single" w:sz="4" w:space="0" w:color="FFFFFF"/>
              <w:right w:val="single" w:sz="4" w:space="0" w:color="FFFFFF"/>
            </w:tcBorders>
            <w:shd w:val="clear" w:color="auto" w:fill="FAE2D6"/>
            <w:vAlign w:val="center"/>
          </w:tcPr>
          <w:p w14:paraId="00000028" w14:textId="4913071A" w:rsidR="00D35757" w:rsidRDefault="00D35757">
            <w:pPr>
              <w:spacing w:line="360" w:lineRule="auto"/>
              <w:jc w:val="both"/>
              <w:rPr>
                <w:rFonts w:ascii="Verdana" w:eastAsia="Verdana" w:hAnsi="Verdana" w:cs="Verdana"/>
                <w:sz w:val="20"/>
                <w:szCs w:val="20"/>
              </w:rPr>
            </w:pPr>
            <w:r w:rsidRPr="00D35757">
              <w:rPr>
                <w:rFonts w:ascii="Verdana" w:eastAsia="Verdana" w:hAnsi="Verdana" w:cs="Verdana"/>
                <w:sz w:val="20"/>
                <w:szCs w:val="20"/>
              </w:rPr>
              <w:t xml:space="preserve">Inscrita en el Registro Mercantil de Madrid, inscripción 1ª, IRUS: 1000426432874 y Hoja M </w:t>
            </w:r>
            <w:r>
              <w:rPr>
                <w:rFonts w:ascii="Verdana" w:eastAsia="Verdana" w:hAnsi="Verdana" w:cs="Verdana"/>
                <w:sz w:val="20"/>
                <w:szCs w:val="20"/>
              </w:rPr>
              <w:t>–</w:t>
            </w:r>
            <w:r w:rsidRPr="00D35757">
              <w:rPr>
                <w:rFonts w:ascii="Verdana" w:eastAsia="Verdana" w:hAnsi="Verdana" w:cs="Verdana"/>
                <w:sz w:val="20"/>
                <w:szCs w:val="20"/>
              </w:rPr>
              <w:t xml:space="preserve"> 828116</w:t>
            </w:r>
            <w:r>
              <w:rPr>
                <w:rFonts w:ascii="Verdana" w:eastAsia="Verdana" w:hAnsi="Verdana" w:cs="Verdana"/>
                <w:sz w:val="20"/>
                <w:szCs w:val="20"/>
              </w:rPr>
              <w:t>.</w:t>
            </w:r>
          </w:p>
        </w:tc>
      </w:tr>
      <w:tr w:rsidR="006E1E13" w14:paraId="3F9163DC" w14:textId="77777777">
        <w:trPr>
          <w:trHeight w:val="291"/>
        </w:trPr>
        <w:tc>
          <w:tcPr>
            <w:tcW w:w="33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0000029" w14:textId="77777777" w:rsidR="006E1E13" w:rsidRDefault="00E924CE">
            <w:pPr>
              <w:spacing w:before="240" w:after="24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Domicilio social:</w:t>
            </w:r>
          </w:p>
        </w:tc>
        <w:tc>
          <w:tcPr>
            <w:tcW w:w="5171" w:type="dxa"/>
            <w:tcBorders>
              <w:top w:val="single" w:sz="4" w:space="0" w:color="FFFFFF"/>
              <w:left w:val="single" w:sz="4" w:space="0" w:color="FFFFFF"/>
              <w:bottom w:val="single" w:sz="4" w:space="0" w:color="FFFFFF"/>
              <w:right w:val="single" w:sz="4" w:space="0" w:color="FFFFFF"/>
            </w:tcBorders>
            <w:shd w:val="clear" w:color="auto" w:fill="FAE2D6"/>
            <w:vAlign w:val="center"/>
          </w:tcPr>
          <w:p w14:paraId="0000002A" w14:textId="3A5B26A4" w:rsidR="006E1E13" w:rsidRDefault="00E924CE">
            <w:pPr>
              <w:widowControl w:val="0"/>
              <w:spacing w:before="240" w:after="24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Paseo de la Castellana, 144</w:t>
            </w:r>
            <w:r w:rsidR="001D14AF">
              <w:rPr>
                <w:rFonts w:ascii="Verdana" w:eastAsia="Verdana" w:hAnsi="Verdana" w:cs="Verdana"/>
                <w:color w:val="000000"/>
                <w:sz w:val="20"/>
                <w:szCs w:val="20"/>
              </w:rPr>
              <w:t xml:space="preserve"> – Esc.1 6ª Planta,</w:t>
            </w:r>
            <w:r>
              <w:rPr>
                <w:rFonts w:ascii="Verdana" w:eastAsia="Verdana" w:hAnsi="Verdana" w:cs="Verdana"/>
                <w:color w:val="000000"/>
                <w:sz w:val="20"/>
                <w:szCs w:val="20"/>
              </w:rPr>
              <w:t xml:space="preserve"> 28046 Madrid.</w:t>
            </w:r>
          </w:p>
        </w:tc>
      </w:tr>
      <w:tr w:rsidR="006E1E13" w14:paraId="47B0CAEF" w14:textId="77777777">
        <w:trPr>
          <w:trHeight w:val="291"/>
        </w:trPr>
        <w:tc>
          <w:tcPr>
            <w:tcW w:w="33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000002B" w14:textId="77777777" w:rsidR="006E1E13" w:rsidRDefault="00E924CE">
            <w:pPr>
              <w:spacing w:before="240" w:after="24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Correo electrónico de contacto:</w:t>
            </w:r>
          </w:p>
        </w:tc>
        <w:tc>
          <w:tcPr>
            <w:tcW w:w="5171" w:type="dxa"/>
            <w:tcBorders>
              <w:top w:val="single" w:sz="4" w:space="0" w:color="FFFFFF"/>
              <w:left w:val="single" w:sz="4" w:space="0" w:color="FFFFFF"/>
              <w:bottom w:val="single" w:sz="4" w:space="0" w:color="FFFFFF"/>
              <w:right w:val="single" w:sz="4" w:space="0" w:color="FFFFFF"/>
            </w:tcBorders>
            <w:shd w:val="clear" w:color="auto" w:fill="FAE2D6"/>
            <w:vAlign w:val="center"/>
          </w:tcPr>
          <w:p w14:paraId="0000002C" w14:textId="77777777" w:rsidR="006E1E13" w:rsidRDefault="006E1E13">
            <w:pPr>
              <w:spacing w:before="240" w:after="240" w:line="360" w:lineRule="auto"/>
              <w:jc w:val="both"/>
              <w:rPr>
                <w:rFonts w:ascii="Verdana" w:eastAsia="Verdana" w:hAnsi="Verdana" w:cs="Verdana"/>
                <w:color w:val="000000"/>
                <w:sz w:val="20"/>
                <w:szCs w:val="20"/>
              </w:rPr>
            </w:pPr>
            <w:hyperlink r:id="rId12">
              <w:r>
                <w:rPr>
                  <w:rFonts w:ascii="Verdana" w:eastAsia="Verdana" w:hAnsi="Verdana" w:cs="Verdana"/>
                  <w:color w:val="467886"/>
                  <w:sz w:val="20"/>
                  <w:szCs w:val="20"/>
                  <w:u w:val="single"/>
                </w:rPr>
                <w:t>contacto@valorix.com</w:t>
              </w:r>
            </w:hyperlink>
          </w:p>
        </w:tc>
      </w:tr>
    </w:tbl>
    <w:p w14:paraId="0000002D"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1" w:name="_Toc202892080"/>
      <w:r>
        <w:rPr>
          <w:rFonts w:ascii="Verdana" w:eastAsia="Verdana" w:hAnsi="Verdana" w:cs="Verdana"/>
          <w:b/>
          <w:color w:val="000000"/>
          <w:sz w:val="20"/>
          <w:szCs w:val="20"/>
        </w:rPr>
        <w:t>NORMATIVA APLICABLE</w:t>
      </w:r>
      <w:bookmarkEnd w:id="1"/>
    </w:p>
    <w:p w14:paraId="5BB34364" w14:textId="2BE8B76A" w:rsidR="00D35757" w:rsidRDefault="00E924CE">
      <w:pPr>
        <w:spacing w:line="360" w:lineRule="auto"/>
        <w:jc w:val="both"/>
        <w:rPr>
          <w:rFonts w:ascii="Verdana" w:eastAsia="Verdana" w:hAnsi="Verdana" w:cs="Verdana"/>
          <w:sz w:val="20"/>
          <w:szCs w:val="20"/>
        </w:rPr>
      </w:pPr>
      <w:r>
        <w:rPr>
          <w:rFonts w:ascii="Verdana" w:eastAsia="Verdana" w:hAnsi="Verdana" w:cs="Verdana"/>
          <w:b/>
          <w:sz w:val="20"/>
          <w:szCs w:val="20"/>
        </w:rPr>
        <w:t>VALOR</w:t>
      </w:r>
      <w:r w:rsidR="00471ABF">
        <w:rPr>
          <w:rFonts w:ascii="Verdana" w:eastAsia="Verdana" w:hAnsi="Verdana" w:cs="Verdana"/>
          <w:b/>
          <w:sz w:val="20"/>
          <w:szCs w:val="20"/>
        </w:rPr>
        <w:t>IX</w:t>
      </w:r>
      <w:r>
        <w:rPr>
          <w:rFonts w:ascii="Verdana" w:eastAsia="Verdana" w:hAnsi="Verdana" w:cs="Verdana"/>
          <w:b/>
          <w:sz w:val="20"/>
          <w:szCs w:val="20"/>
        </w:rPr>
        <w:t xml:space="preserve"> DIGITAL, S.A. </w:t>
      </w:r>
      <w:r>
        <w:rPr>
          <w:rFonts w:ascii="Verdana" w:eastAsia="Verdana" w:hAnsi="Verdana" w:cs="Verdana"/>
          <w:sz w:val="20"/>
          <w:szCs w:val="20"/>
        </w:rPr>
        <w:t>(En adelante,</w:t>
      </w:r>
      <w:r>
        <w:rPr>
          <w:rFonts w:ascii="Verdana" w:eastAsia="Verdana" w:hAnsi="Verdana" w:cs="Verdana"/>
          <w:b/>
          <w:sz w:val="20"/>
          <w:szCs w:val="20"/>
        </w:rPr>
        <w:t xml:space="preserve"> VALORIX</w:t>
      </w:r>
      <w:r>
        <w:rPr>
          <w:rFonts w:ascii="Verdana" w:eastAsia="Verdana" w:hAnsi="Verdana" w:cs="Verdana"/>
          <w:sz w:val="20"/>
          <w:szCs w:val="20"/>
        </w:rPr>
        <w:t>) opera bajo la legislación española, sujeta a la Ley 6/2023 de los Mercados de Valores y los Servicios de Inversión (LMVSI), la Ley 34/2002 de Servicios de la Sociedad de la Información (LSSI), y la normativa europea aplicable.</w:t>
      </w:r>
    </w:p>
    <w:p w14:paraId="0000002F"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2" w:name="_Toc202892081"/>
      <w:r>
        <w:rPr>
          <w:rFonts w:ascii="Verdana" w:eastAsia="Verdana" w:hAnsi="Verdana" w:cs="Verdana"/>
          <w:b/>
          <w:color w:val="000000"/>
          <w:sz w:val="20"/>
          <w:szCs w:val="20"/>
        </w:rPr>
        <w:t>DEFINICIONES</w:t>
      </w:r>
      <w:bookmarkEnd w:id="2"/>
    </w:p>
    <w:p w14:paraId="00000030" w14:textId="77777777" w:rsidR="006E1E13" w:rsidRDefault="00E924CE">
      <w:p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Bonos </w:t>
      </w:r>
      <w:proofErr w:type="spellStart"/>
      <w:r>
        <w:rPr>
          <w:rFonts w:ascii="Verdana" w:eastAsia="Verdana" w:hAnsi="Verdana" w:cs="Verdana"/>
          <w:b/>
          <w:color w:val="000000"/>
          <w:sz w:val="20"/>
          <w:szCs w:val="20"/>
        </w:rPr>
        <w:t>Tokenizados</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Criptoactivos</w:t>
      </w:r>
      <w:proofErr w:type="spellEnd"/>
      <w:r>
        <w:rPr>
          <w:rFonts w:ascii="Verdana" w:eastAsia="Verdana" w:hAnsi="Verdana" w:cs="Verdana"/>
          <w:color w:val="000000"/>
          <w:sz w:val="20"/>
          <w:szCs w:val="20"/>
        </w:rPr>
        <w:t xml:space="preserve"> generados mediante tecnología de registro distribuido (TRD) que representan valores negociables consistentes en derechos de crédito frente al emisor, vinculados a la amortización del principal y al pago de intereses.</w:t>
      </w:r>
    </w:p>
    <w:p w14:paraId="00000031" w14:textId="77777777" w:rsidR="006E1E13" w:rsidRDefault="00E924CE">
      <w:p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Criptoactivos</w:t>
      </w:r>
      <w:r>
        <w:rPr>
          <w:rFonts w:ascii="Verdana" w:eastAsia="Verdana" w:hAnsi="Verdana" w:cs="Verdana"/>
          <w:color w:val="000000"/>
          <w:sz w:val="20"/>
          <w:szCs w:val="20"/>
        </w:rPr>
        <w:t>: Tokens o representaciones digitales de valores o derechos que pueden transferirse y almacenarse electrónicamente mediante TRD.</w:t>
      </w:r>
    </w:p>
    <w:p w14:paraId="00000032" w14:textId="77777777" w:rsidR="006E1E13" w:rsidRDefault="00E924CE">
      <w:p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Criptomonedas</w:t>
      </w:r>
      <w:r>
        <w:rPr>
          <w:rFonts w:ascii="Verdana" w:eastAsia="Verdana" w:hAnsi="Verdana" w:cs="Verdana"/>
          <w:color w:val="000000"/>
          <w:sz w:val="20"/>
          <w:szCs w:val="20"/>
        </w:rPr>
        <w:t>: Representación digital de valor no emitida o garantizada por un banco central o autoridad, no necesariamente asociada a una moneda legalmente establecida.</w:t>
      </w:r>
    </w:p>
    <w:p w14:paraId="00000033" w14:textId="40662298" w:rsidR="006E1E13" w:rsidRDefault="00E924CE">
      <w:pPr>
        <w:spacing w:line="360" w:lineRule="auto"/>
        <w:jc w:val="both"/>
        <w:rPr>
          <w:rFonts w:ascii="Verdana" w:eastAsia="Verdana" w:hAnsi="Verdana" w:cs="Verdana"/>
          <w:sz w:val="20"/>
          <w:szCs w:val="20"/>
        </w:rPr>
      </w:pPr>
      <w:r>
        <w:rPr>
          <w:rFonts w:ascii="Verdana" w:eastAsia="Verdana" w:hAnsi="Verdana" w:cs="Verdana"/>
          <w:b/>
          <w:sz w:val="20"/>
          <w:szCs w:val="20"/>
        </w:rPr>
        <w:t>Documento de la Emisión</w:t>
      </w:r>
      <w:r>
        <w:rPr>
          <w:rFonts w:ascii="Verdana" w:eastAsia="Verdana" w:hAnsi="Verdana" w:cs="Verdana"/>
          <w:sz w:val="20"/>
          <w:szCs w:val="20"/>
        </w:rPr>
        <w:t xml:space="preserve">: Documento legal que describe </w:t>
      </w:r>
      <w:r w:rsidR="00ED14E2">
        <w:rPr>
          <w:rFonts w:ascii="Verdana" w:eastAsia="Verdana" w:hAnsi="Verdana" w:cs="Verdana"/>
          <w:sz w:val="20"/>
          <w:szCs w:val="20"/>
        </w:rPr>
        <w:t>estas CGC</w:t>
      </w:r>
      <w:r>
        <w:rPr>
          <w:rFonts w:ascii="Verdana" w:eastAsia="Verdana" w:hAnsi="Verdana" w:cs="Verdana"/>
          <w:sz w:val="20"/>
          <w:szCs w:val="20"/>
        </w:rPr>
        <w:t xml:space="preserve"> de cada emisión de bonos </w:t>
      </w:r>
      <w:proofErr w:type="spellStart"/>
      <w:r>
        <w:rPr>
          <w:rFonts w:ascii="Verdana" w:eastAsia="Verdana" w:hAnsi="Verdana" w:cs="Verdana"/>
          <w:sz w:val="20"/>
          <w:szCs w:val="20"/>
        </w:rPr>
        <w:t>tokenizados</w:t>
      </w:r>
      <w:proofErr w:type="spellEnd"/>
      <w:r>
        <w:rPr>
          <w:rFonts w:ascii="Verdana" w:eastAsia="Verdana" w:hAnsi="Verdana" w:cs="Verdana"/>
          <w:sz w:val="20"/>
          <w:szCs w:val="20"/>
        </w:rPr>
        <w:t>, incluyendo importe, plazo, tipo de interés, riesgos y garantías.</w:t>
      </w:r>
    </w:p>
    <w:p w14:paraId="00000034" w14:textId="77777777" w:rsidR="006E1E13" w:rsidRDefault="00E924CE">
      <w:p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SCA</w:t>
      </w:r>
      <w:r>
        <w:rPr>
          <w:rFonts w:ascii="Verdana" w:eastAsia="Verdana" w:hAnsi="Verdana" w:cs="Verdana"/>
          <w:color w:val="000000"/>
          <w:sz w:val="20"/>
          <w:szCs w:val="20"/>
        </w:rPr>
        <w:t xml:space="preserve">: </w:t>
      </w:r>
      <w:r>
        <w:rPr>
          <w:rFonts w:ascii="Verdana" w:eastAsia="Verdana" w:hAnsi="Verdana" w:cs="Verdana"/>
          <w:i/>
          <w:color w:val="000000"/>
          <w:sz w:val="20"/>
          <w:szCs w:val="20"/>
        </w:rPr>
        <w:t xml:space="preserve">Smart </w:t>
      </w:r>
      <w:proofErr w:type="spellStart"/>
      <w:r>
        <w:rPr>
          <w:rFonts w:ascii="Verdana" w:eastAsia="Verdana" w:hAnsi="Verdana" w:cs="Verdana"/>
          <w:i/>
          <w:color w:val="000000"/>
          <w:sz w:val="20"/>
          <w:szCs w:val="20"/>
        </w:rPr>
        <w:t>Contract</w:t>
      </w:r>
      <w:proofErr w:type="spellEnd"/>
      <w:r>
        <w:rPr>
          <w:rFonts w:ascii="Verdana" w:eastAsia="Verdana" w:hAnsi="Verdana" w:cs="Verdana"/>
          <w:i/>
          <w:color w:val="000000"/>
          <w:sz w:val="20"/>
          <w:szCs w:val="20"/>
        </w:rPr>
        <w:t xml:space="preserve"> </w:t>
      </w:r>
      <w:proofErr w:type="spellStart"/>
      <w:r>
        <w:rPr>
          <w:rFonts w:ascii="Verdana" w:eastAsia="Verdana" w:hAnsi="Verdana" w:cs="Verdana"/>
          <w:i/>
          <w:color w:val="000000"/>
          <w:sz w:val="20"/>
          <w:szCs w:val="20"/>
        </w:rPr>
        <w:t>Account</w:t>
      </w:r>
      <w:proofErr w:type="spellEnd"/>
      <w:r>
        <w:rPr>
          <w:rFonts w:ascii="Verdana" w:eastAsia="Verdana" w:hAnsi="Verdana" w:cs="Verdana"/>
          <w:color w:val="000000"/>
          <w:sz w:val="20"/>
          <w:szCs w:val="20"/>
        </w:rPr>
        <w:t xml:space="preserve">, desplegada en </w:t>
      </w:r>
      <w:proofErr w:type="spellStart"/>
      <w:r>
        <w:rPr>
          <w:rFonts w:ascii="Verdana" w:eastAsia="Verdana" w:hAnsi="Verdana" w:cs="Verdana"/>
          <w:color w:val="000000"/>
          <w:sz w:val="20"/>
          <w:szCs w:val="20"/>
        </w:rPr>
        <w:t>blockchain</w:t>
      </w:r>
      <w:proofErr w:type="spellEnd"/>
      <w:r>
        <w:rPr>
          <w:rFonts w:ascii="Verdana" w:eastAsia="Verdana" w:hAnsi="Verdana" w:cs="Verdana"/>
          <w:color w:val="000000"/>
          <w:sz w:val="20"/>
          <w:szCs w:val="20"/>
        </w:rPr>
        <w:t xml:space="preserve"> con dirección única, asignada pseudónimamente a cada usuario.</w:t>
      </w:r>
    </w:p>
    <w:p w14:paraId="00000035" w14:textId="77777777" w:rsidR="006E1E13" w:rsidRDefault="00E924CE">
      <w:p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EOA</w:t>
      </w:r>
      <w:r>
        <w:rPr>
          <w:rFonts w:ascii="Verdana" w:eastAsia="Verdana" w:hAnsi="Verdana" w:cs="Verdana"/>
          <w:color w:val="000000"/>
          <w:sz w:val="20"/>
          <w:szCs w:val="20"/>
        </w:rPr>
        <w:t xml:space="preserve">: </w:t>
      </w:r>
      <w:proofErr w:type="spellStart"/>
      <w:r>
        <w:rPr>
          <w:rFonts w:ascii="Verdana" w:eastAsia="Verdana" w:hAnsi="Verdana" w:cs="Verdana"/>
          <w:i/>
          <w:color w:val="000000"/>
          <w:sz w:val="20"/>
          <w:szCs w:val="20"/>
        </w:rPr>
        <w:t>Externally</w:t>
      </w:r>
      <w:proofErr w:type="spellEnd"/>
      <w:r>
        <w:rPr>
          <w:rFonts w:ascii="Verdana" w:eastAsia="Verdana" w:hAnsi="Verdana" w:cs="Verdana"/>
          <w:i/>
          <w:color w:val="000000"/>
          <w:sz w:val="20"/>
          <w:szCs w:val="20"/>
        </w:rPr>
        <w:t xml:space="preserve"> </w:t>
      </w:r>
      <w:proofErr w:type="spellStart"/>
      <w:r>
        <w:rPr>
          <w:rFonts w:ascii="Verdana" w:eastAsia="Verdana" w:hAnsi="Verdana" w:cs="Verdana"/>
          <w:i/>
          <w:color w:val="000000"/>
          <w:sz w:val="20"/>
          <w:szCs w:val="20"/>
        </w:rPr>
        <w:t>Owned</w:t>
      </w:r>
      <w:proofErr w:type="spellEnd"/>
      <w:r>
        <w:rPr>
          <w:rFonts w:ascii="Verdana" w:eastAsia="Verdana" w:hAnsi="Verdana" w:cs="Verdana"/>
          <w:i/>
          <w:color w:val="000000"/>
          <w:sz w:val="20"/>
          <w:szCs w:val="20"/>
        </w:rPr>
        <w:t xml:space="preserve"> </w:t>
      </w:r>
      <w:proofErr w:type="spellStart"/>
      <w:r>
        <w:rPr>
          <w:rFonts w:ascii="Verdana" w:eastAsia="Verdana" w:hAnsi="Verdana" w:cs="Verdana"/>
          <w:i/>
          <w:color w:val="000000"/>
          <w:sz w:val="20"/>
          <w:szCs w:val="20"/>
        </w:rPr>
        <w:t>Account</w:t>
      </w:r>
      <w:proofErr w:type="spellEnd"/>
      <w:r>
        <w:rPr>
          <w:rFonts w:ascii="Verdana" w:eastAsia="Verdana" w:hAnsi="Verdana" w:cs="Verdana"/>
          <w:i/>
          <w:color w:val="000000"/>
          <w:sz w:val="20"/>
          <w:szCs w:val="20"/>
        </w:rPr>
        <w:t>,</w:t>
      </w:r>
      <w:r>
        <w:rPr>
          <w:rFonts w:ascii="Verdana" w:eastAsia="Verdana" w:hAnsi="Verdana" w:cs="Verdana"/>
          <w:color w:val="000000"/>
          <w:sz w:val="20"/>
          <w:szCs w:val="20"/>
        </w:rPr>
        <w:t xml:space="preserve"> utilizada por </w:t>
      </w:r>
      <w:r>
        <w:rPr>
          <w:rFonts w:ascii="Verdana" w:eastAsia="Verdana" w:hAnsi="Verdana" w:cs="Verdana"/>
          <w:b/>
          <w:color w:val="000000"/>
          <w:sz w:val="20"/>
          <w:szCs w:val="20"/>
        </w:rPr>
        <w:t>VALORIX</w:t>
      </w:r>
      <w:r>
        <w:rPr>
          <w:rFonts w:ascii="Verdana" w:eastAsia="Verdana" w:hAnsi="Verdana" w:cs="Verdana"/>
          <w:color w:val="000000"/>
          <w:sz w:val="20"/>
          <w:szCs w:val="20"/>
        </w:rPr>
        <w:t xml:space="preserve"> para ejecutar transacciones en </w:t>
      </w:r>
      <w:proofErr w:type="spellStart"/>
      <w:r>
        <w:rPr>
          <w:rFonts w:ascii="Verdana" w:eastAsia="Verdana" w:hAnsi="Verdana" w:cs="Verdana"/>
          <w:color w:val="000000"/>
          <w:sz w:val="20"/>
          <w:szCs w:val="20"/>
        </w:rPr>
        <w:t>blockchain</w:t>
      </w:r>
      <w:proofErr w:type="spellEnd"/>
      <w:r>
        <w:rPr>
          <w:rFonts w:ascii="Verdana" w:eastAsia="Verdana" w:hAnsi="Verdana" w:cs="Verdana"/>
          <w:color w:val="000000"/>
          <w:sz w:val="20"/>
          <w:szCs w:val="20"/>
        </w:rPr>
        <w:t>.</w:t>
      </w:r>
    </w:p>
    <w:p w14:paraId="00000036" w14:textId="77777777" w:rsidR="006E1E13" w:rsidRDefault="00E924CE">
      <w:p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ERIR</w:t>
      </w:r>
      <w:r>
        <w:rPr>
          <w:rFonts w:ascii="Verdana" w:eastAsia="Verdana" w:hAnsi="Verdana" w:cs="Verdana"/>
          <w:color w:val="000000"/>
          <w:sz w:val="20"/>
          <w:szCs w:val="20"/>
        </w:rPr>
        <w:t xml:space="preserve">: Entidad Responsable de Identidad y Registro, cuya firma es preceptiva para validar transacciones clave como </w:t>
      </w:r>
      <w:proofErr w:type="spellStart"/>
      <w:r>
        <w:rPr>
          <w:rFonts w:ascii="Verdana" w:eastAsia="Verdana" w:hAnsi="Verdana" w:cs="Verdana"/>
          <w:color w:val="000000"/>
          <w:sz w:val="20"/>
          <w:szCs w:val="20"/>
        </w:rPr>
        <w:t>minteo</w:t>
      </w:r>
      <w:proofErr w:type="spellEnd"/>
      <w:r>
        <w:rPr>
          <w:rFonts w:ascii="Verdana" w:eastAsia="Verdana" w:hAnsi="Verdana" w:cs="Verdana"/>
          <w:color w:val="000000"/>
          <w:sz w:val="20"/>
          <w:szCs w:val="20"/>
        </w:rPr>
        <w:t>, quemado o transferencias forzosas.</w:t>
      </w:r>
    </w:p>
    <w:p w14:paraId="00000037" w14:textId="77777777" w:rsidR="006E1E13" w:rsidRDefault="00E924CE">
      <w:pPr>
        <w:spacing w:line="360" w:lineRule="auto"/>
        <w:jc w:val="both"/>
        <w:rPr>
          <w:rFonts w:ascii="Verdana" w:eastAsia="Verdana" w:hAnsi="Verdana" w:cs="Verdana"/>
          <w:sz w:val="20"/>
          <w:szCs w:val="20"/>
        </w:rPr>
      </w:pPr>
      <w:r>
        <w:rPr>
          <w:rFonts w:ascii="Verdana" w:eastAsia="Verdana" w:hAnsi="Verdana" w:cs="Verdana"/>
          <w:b/>
          <w:sz w:val="20"/>
          <w:szCs w:val="20"/>
        </w:rPr>
        <w:t>Test de conveniencia</w:t>
      </w:r>
      <w:r>
        <w:rPr>
          <w:rFonts w:ascii="Verdana" w:eastAsia="Verdana" w:hAnsi="Verdana" w:cs="Verdana"/>
          <w:sz w:val="20"/>
          <w:szCs w:val="20"/>
        </w:rPr>
        <w:t>: Evaluación para verificar la idoneidad del inversor no profesional en relación con los instrumentos financieros ofrecidos.</w:t>
      </w:r>
    </w:p>
    <w:p w14:paraId="00000038" w14:textId="77777777" w:rsidR="006E1E13" w:rsidRDefault="00E924CE">
      <w:p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Usuario</w:t>
      </w:r>
      <w:r>
        <w:rPr>
          <w:rFonts w:ascii="Verdana" w:eastAsia="Verdana" w:hAnsi="Verdana" w:cs="Verdana"/>
          <w:color w:val="000000"/>
          <w:sz w:val="20"/>
          <w:szCs w:val="20"/>
        </w:rPr>
        <w:t xml:space="preserve">: Personas jurídicas y físicas mayores de edad y con plena capacidad para contratar, que acceden a </w:t>
      </w:r>
      <w:r>
        <w:rPr>
          <w:rFonts w:ascii="Verdana" w:eastAsia="Verdana" w:hAnsi="Verdana" w:cs="Verdana"/>
          <w:b/>
          <w:color w:val="000000"/>
          <w:sz w:val="20"/>
          <w:szCs w:val="20"/>
        </w:rPr>
        <w:t>VALORIX</w:t>
      </w:r>
      <w:r>
        <w:rPr>
          <w:rFonts w:ascii="Verdana" w:eastAsia="Verdana" w:hAnsi="Verdana" w:cs="Verdana"/>
          <w:color w:val="000000"/>
          <w:sz w:val="20"/>
          <w:szCs w:val="20"/>
        </w:rPr>
        <w:t xml:space="preserve"> para la adquisición y gestión de bonos </w:t>
      </w:r>
      <w:proofErr w:type="spellStart"/>
      <w:r>
        <w:rPr>
          <w:rFonts w:ascii="Verdana" w:eastAsia="Verdana" w:hAnsi="Verdana" w:cs="Verdana"/>
          <w:color w:val="000000"/>
          <w:sz w:val="20"/>
          <w:szCs w:val="20"/>
        </w:rPr>
        <w:t>tokenizados</w:t>
      </w:r>
      <w:proofErr w:type="spellEnd"/>
      <w:r>
        <w:rPr>
          <w:rFonts w:ascii="Verdana" w:eastAsia="Verdana" w:hAnsi="Verdana" w:cs="Verdana"/>
          <w:color w:val="000000"/>
          <w:sz w:val="20"/>
          <w:szCs w:val="20"/>
        </w:rPr>
        <w:t>.</w:t>
      </w:r>
    </w:p>
    <w:p w14:paraId="00000039" w14:textId="4A5A36EA" w:rsidR="006E1E13" w:rsidRDefault="0087733F">
      <w:p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Plataforma </w:t>
      </w:r>
      <w:proofErr w:type="spellStart"/>
      <w:r>
        <w:rPr>
          <w:rFonts w:ascii="Verdana" w:eastAsia="Verdana" w:hAnsi="Verdana" w:cs="Verdana"/>
          <w:b/>
          <w:color w:val="000000"/>
          <w:sz w:val="20"/>
          <w:szCs w:val="20"/>
        </w:rPr>
        <w:t>Valorix</w:t>
      </w:r>
      <w:proofErr w:type="spellEnd"/>
      <w:r w:rsidR="00E924CE">
        <w:rPr>
          <w:rFonts w:ascii="Verdana" w:eastAsia="Verdana" w:hAnsi="Verdana" w:cs="Verdana"/>
          <w:color w:val="000000"/>
          <w:sz w:val="20"/>
          <w:szCs w:val="20"/>
        </w:rPr>
        <w:t xml:space="preserve">: Plataforma digital basada en Tecnología de Registro Distribuido (en adelante, “TRD”) desarrollada y utilizada por </w:t>
      </w:r>
      <w:r w:rsidR="00E924CE">
        <w:rPr>
          <w:rFonts w:ascii="Verdana" w:eastAsia="Verdana" w:hAnsi="Verdana" w:cs="Verdana"/>
          <w:b/>
          <w:color w:val="000000"/>
          <w:sz w:val="20"/>
          <w:szCs w:val="20"/>
        </w:rPr>
        <w:t>VALOR</w:t>
      </w:r>
      <w:r w:rsidR="00C720E8">
        <w:rPr>
          <w:rFonts w:ascii="Verdana" w:eastAsia="Verdana" w:hAnsi="Verdana" w:cs="Verdana"/>
          <w:b/>
          <w:color w:val="000000"/>
          <w:sz w:val="20"/>
          <w:szCs w:val="20"/>
        </w:rPr>
        <w:t>IX</w:t>
      </w:r>
      <w:r w:rsidR="00E924CE">
        <w:rPr>
          <w:rFonts w:ascii="Verdana" w:eastAsia="Verdana" w:hAnsi="Verdana" w:cs="Verdana"/>
          <w:color w:val="000000"/>
          <w:sz w:val="20"/>
          <w:szCs w:val="20"/>
        </w:rPr>
        <w:t xml:space="preserve"> que permite la adquisición y gestión de bonos </w:t>
      </w:r>
      <w:proofErr w:type="spellStart"/>
      <w:r w:rsidR="00E924CE">
        <w:rPr>
          <w:rFonts w:ascii="Verdana" w:eastAsia="Verdana" w:hAnsi="Verdana" w:cs="Verdana"/>
          <w:color w:val="000000"/>
          <w:sz w:val="20"/>
          <w:szCs w:val="20"/>
        </w:rPr>
        <w:t>tokenizados</w:t>
      </w:r>
      <w:proofErr w:type="spellEnd"/>
      <w:r w:rsidR="00E924CE">
        <w:rPr>
          <w:rFonts w:ascii="Verdana" w:eastAsia="Verdana" w:hAnsi="Verdana" w:cs="Verdana"/>
          <w:color w:val="000000"/>
          <w:sz w:val="20"/>
          <w:szCs w:val="20"/>
        </w:rPr>
        <w:t>.</w:t>
      </w:r>
    </w:p>
    <w:p w14:paraId="0000003A" w14:textId="644C5E76" w:rsidR="006E1E13" w:rsidRDefault="00E924CE">
      <w:pPr>
        <w:spacing w:line="360" w:lineRule="auto"/>
        <w:jc w:val="both"/>
        <w:rPr>
          <w:rFonts w:ascii="Verdana" w:eastAsia="Verdana" w:hAnsi="Verdana" w:cs="Verdana"/>
          <w:sz w:val="20"/>
          <w:szCs w:val="20"/>
        </w:rPr>
      </w:pPr>
      <w:proofErr w:type="spellStart"/>
      <w:r>
        <w:rPr>
          <w:rFonts w:ascii="Verdana" w:eastAsia="Verdana" w:hAnsi="Verdana" w:cs="Verdana"/>
          <w:b/>
          <w:sz w:val="20"/>
          <w:szCs w:val="20"/>
        </w:rPr>
        <w:t>Wallet</w:t>
      </w:r>
      <w:proofErr w:type="spellEnd"/>
      <w:r>
        <w:rPr>
          <w:rFonts w:ascii="Verdana" w:eastAsia="Verdana" w:hAnsi="Verdana" w:cs="Verdana"/>
          <w:b/>
          <w:sz w:val="20"/>
          <w:szCs w:val="20"/>
        </w:rPr>
        <w:t xml:space="preserve"> Bit2Me</w:t>
      </w:r>
      <w:r>
        <w:rPr>
          <w:rFonts w:ascii="Verdana" w:eastAsia="Verdana" w:hAnsi="Verdana" w:cs="Verdana"/>
          <w:sz w:val="20"/>
          <w:szCs w:val="20"/>
        </w:rPr>
        <w:t xml:space="preserve">: </w:t>
      </w:r>
      <w:r w:rsidR="00C07E59" w:rsidRPr="00C07E59">
        <w:rPr>
          <w:rFonts w:ascii="Verdana" w:eastAsia="Verdana" w:hAnsi="Verdana" w:cs="Verdana"/>
          <w:sz w:val="20"/>
          <w:szCs w:val="20"/>
        </w:rPr>
        <w:t xml:space="preserve">Monedero digital vinculado a la cuenta del usuario en el proveedor de servicios de criptoactivos Bit2Me. Este </w:t>
      </w:r>
      <w:proofErr w:type="spellStart"/>
      <w:r w:rsidR="00C07E59" w:rsidRPr="00C07E59">
        <w:rPr>
          <w:rFonts w:ascii="Verdana" w:eastAsia="Verdana" w:hAnsi="Verdana" w:cs="Verdana"/>
          <w:sz w:val="20"/>
          <w:szCs w:val="20"/>
        </w:rPr>
        <w:t>wallet</w:t>
      </w:r>
      <w:proofErr w:type="spellEnd"/>
      <w:r w:rsidR="00C07E59" w:rsidRPr="00C07E59">
        <w:rPr>
          <w:rFonts w:ascii="Verdana" w:eastAsia="Verdana" w:hAnsi="Verdana" w:cs="Verdana"/>
          <w:sz w:val="20"/>
          <w:szCs w:val="20"/>
        </w:rPr>
        <w:t xml:space="preserve"> puede contener saldo tanto en euros como en EURR y es utilizado para la transferencia de fondos hacia y desde la plataforma </w:t>
      </w:r>
      <w:r w:rsidR="00C07E59" w:rsidRPr="00D33FD9">
        <w:rPr>
          <w:rFonts w:ascii="Verdana" w:eastAsia="Verdana" w:hAnsi="Verdana" w:cs="Verdana"/>
          <w:b/>
          <w:bCs/>
          <w:sz w:val="20"/>
          <w:szCs w:val="20"/>
        </w:rPr>
        <w:t>VALORIX</w:t>
      </w:r>
      <w:r>
        <w:rPr>
          <w:rFonts w:ascii="Verdana" w:eastAsia="Verdana" w:hAnsi="Verdana" w:cs="Verdana"/>
          <w:sz w:val="20"/>
          <w:szCs w:val="20"/>
        </w:rPr>
        <w:t>.</w:t>
      </w:r>
    </w:p>
    <w:p w14:paraId="0B323579" w14:textId="5C176F7B" w:rsidR="00AE4922" w:rsidRPr="001D42FC" w:rsidRDefault="10B41E92" w:rsidP="001D42FC">
      <w:pPr>
        <w:pStyle w:val="NormalWeb"/>
        <w:spacing w:line="360" w:lineRule="auto"/>
        <w:jc w:val="both"/>
        <w:rPr>
          <w:rFonts w:ascii="Verdana" w:hAnsi="Verdana"/>
          <w:color w:val="000000"/>
          <w:sz w:val="20"/>
          <w:szCs w:val="20"/>
        </w:rPr>
      </w:pPr>
      <w:r w:rsidRPr="0A7E8932">
        <w:rPr>
          <w:rStyle w:val="Textoennegrita"/>
          <w:rFonts w:ascii="Verdana" w:eastAsiaTheme="majorEastAsia" w:hAnsi="Verdana"/>
          <w:color w:val="000000" w:themeColor="text1"/>
          <w:sz w:val="20"/>
          <w:szCs w:val="20"/>
        </w:rPr>
        <w:t>EURR:</w:t>
      </w:r>
      <w:r w:rsidR="42793213" w:rsidRPr="0A7E8932">
        <w:rPr>
          <w:rStyle w:val="apple-converted-space"/>
          <w:rFonts w:ascii="Verdana" w:eastAsiaTheme="majorEastAsia" w:hAnsi="Verdana"/>
          <w:color w:val="000000" w:themeColor="text1"/>
          <w:sz w:val="20"/>
          <w:szCs w:val="20"/>
        </w:rPr>
        <w:t xml:space="preserve"> </w:t>
      </w:r>
      <w:r w:rsidRPr="0A7E8932">
        <w:rPr>
          <w:rFonts w:ascii="Verdana" w:hAnsi="Verdana"/>
          <w:color w:val="000000" w:themeColor="text1"/>
          <w:sz w:val="20"/>
          <w:szCs w:val="20"/>
        </w:rPr>
        <w:t>Moneda estable (</w:t>
      </w:r>
      <w:proofErr w:type="spellStart"/>
      <w:r w:rsidRPr="0A7E8932">
        <w:rPr>
          <w:rFonts w:ascii="Verdana" w:hAnsi="Verdana"/>
          <w:color w:val="000000" w:themeColor="text1"/>
          <w:sz w:val="20"/>
          <w:szCs w:val="20"/>
        </w:rPr>
        <w:t>stablecoin</w:t>
      </w:r>
      <w:proofErr w:type="spellEnd"/>
      <w:r w:rsidRPr="0A7E8932">
        <w:rPr>
          <w:rFonts w:ascii="Verdana" w:hAnsi="Verdana"/>
          <w:color w:val="000000" w:themeColor="text1"/>
          <w:sz w:val="20"/>
          <w:szCs w:val="20"/>
        </w:rPr>
        <w:t xml:space="preserve">) vinculada al euro, utilizada en la plataforma </w:t>
      </w:r>
      <w:r w:rsidRPr="0A7E8932">
        <w:rPr>
          <w:rFonts w:ascii="Verdana" w:hAnsi="Verdana"/>
          <w:b/>
          <w:bCs/>
          <w:color w:val="000000" w:themeColor="text1"/>
          <w:sz w:val="20"/>
          <w:szCs w:val="20"/>
        </w:rPr>
        <w:t>VALORIX</w:t>
      </w:r>
      <w:r w:rsidRPr="0A7E8932">
        <w:rPr>
          <w:rFonts w:ascii="Verdana" w:hAnsi="Verdana"/>
          <w:color w:val="000000" w:themeColor="text1"/>
          <w:sz w:val="20"/>
          <w:szCs w:val="20"/>
        </w:rPr>
        <w:t xml:space="preserve"> como medio exclusivo de inversión para la adquisición de bonos </w:t>
      </w:r>
      <w:proofErr w:type="spellStart"/>
      <w:r w:rsidRPr="0A7E8932">
        <w:rPr>
          <w:rFonts w:ascii="Verdana" w:hAnsi="Verdana"/>
          <w:color w:val="000000" w:themeColor="text1"/>
          <w:sz w:val="20"/>
          <w:szCs w:val="20"/>
        </w:rPr>
        <w:t>tokenizados</w:t>
      </w:r>
      <w:proofErr w:type="spellEnd"/>
      <w:r w:rsidRPr="0A7E8932">
        <w:rPr>
          <w:rFonts w:ascii="Verdana" w:hAnsi="Verdana"/>
          <w:color w:val="000000" w:themeColor="text1"/>
          <w:sz w:val="20"/>
          <w:szCs w:val="20"/>
        </w:rPr>
        <w:t xml:space="preserve">. </w:t>
      </w:r>
      <w:r w:rsidR="2607A06F" w:rsidRPr="0A7E8932">
        <w:rPr>
          <w:rFonts w:ascii="Verdana" w:hAnsi="Verdana"/>
          <w:color w:val="000000" w:themeColor="text1"/>
          <w:sz w:val="20"/>
          <w:szCs w:val="20"/>
        </w:rPr>
        <w:t xml:space="preserve">La conversión de euros a EURR se realizará por el usuario a través del proveedor Bit2Me, conforme a las condiciones vigentes en cada momento. A título meramente informativo, a fecha </w:t>
      </w:r>
      <w:r w:rsidR="001D5817">
        <w:rPr>
          <w:rFonts w:ascii="Verdana" w:hAnsi="Verdana"/>
          <w:color w:val="000000" w:themeColor="text1"/>
          <w:sz w:val="20"/>
          <w:szCs w:val="20"/>
        </w:rPr>
        <w:t>14</w:t>
      </w:r>
      <w:r w:rsidR="2607A06F" w:rsidRPr="0A7E8932">
        <w:rPr>
          <w:rFonts w:ascii="Verdana" w:hAnsi="Verdana"/>
          <w:color w:val="000000" w:themeColor="text1"/>
          <w:sz w:val="20"/>
          <w:szCs w:val="20"/>
        </w:rPr>
        <w:t xml:space="preserve"> de </w:t>
      </w:r>
      <w:r w:rsidR="001D5817">
        <w:rPr>
          <w:rFonts w:ascii="Verdana" w:hAnsi="Verdana"/>
          <w:color w:val="000000" w:themeColor="text1"/>
          <w:sz w:val="20"/>
          <w:szCs w:val="20"/>
        </w:rPr>
        <w:t>enero</w:t>
      </w:r>
      <w:r w:rsidR="2607A06F" w:rsidRPr="0A7E8932">
        <w:rPr>
          <w:rFonts w:ascii="Verdana" w:hAnsi="Verdana"/>
          <w:color w:val="000000" w:themeColor="text1"/>
          <w:sz w:val="20"/>
          <w:szCs w:val="20"/>
        </w:rPr>
        <w:t xml:space="preserve"> de 202</w:t>
      </w:r>
      <w:r w:rsidR="001D5817">
        <w:rPr>
          <w:rFonts w:ascii="Verdana" w:hAnsi="Verdana"/>
          <w:color w:val="000000" w:themeColor="text1"/>
          <w:sz w:val="20"/>
          <w:szCs w:val="20"/>
        </w:rPr>
        <w:t>6</w:t>
      </w:r>
      <w:r w:rsidR="2607A06F" w:rsidRPr="0A7E8932">
        <w:rPr>
          <w:rFonts w:ascii="Verdana" w:hAnsi="Verdana"/>
          <w:color w:val="000000" w:themeColor="text1"/>
          <w:sz w:val="20"/>
          <w:szCs w:val="20"/>
        </w:rPr>
        <w:t xml:space="preserve">, Bit2Me aplica una comisión </w:t>
      </w:r>
      <w:r w:rsidR="2607A06F" w:rsidRPr="0A7E8932">
        <w:rPr>
          <w:rFonts w:ascii="Verdana" w:hAnsi="Verdana"/>
          <w:color w:val="000000" w:themeColor="text1"/>
          <w:sz w:val="20"/>
          <w:szCs w:val="20"/>
        </w:rPr>
        <w:lastRenderedPageBreak/>
        <w:t>del 0,01% sobre el importe de la operación, más un diferencial (spread) sobre el tipo de cambio aplicable</w:t>
      </w:r>
      <w:r w:rsidR="0CAA9E5F" w:rsidRPr="0A7E8932">
        <w:rPr>
          <w:rFonts w:ascii="Verdana" w:hAnsi="Verdana"/>
          <w:color w:val="000000" w:themeColor="text1"/>
          <w:sz w:val="20"/>
          <w:szCs w:val="20"/>
        </w:rPr>
        <w:t>.</w:t>
      </w:r>
    </w:p>
    <w:p w14:paraId="6E9B3C15" w14:textId="4A7A0539" w:rsidR="00AE4922" w:rsidRPr="001D42FC" w:rsidRDefault="00AE4922" w:rsidP="001D42FC">
      <w:pPr>
        <w:pStyle w:val="NormalWeb"/>
        <w:spacing w:line="360" w:lineRule="auto"/>
        <w:jc w:val="both"/>
        <w:rPr>
          <w:rFonts w:ascii="Verdana" w:hAnsi="Verdana"/>
          <w:color w:val="000000"/>
          <w:sz w:val="20"/>
          <w:szCs w:val="20"/>
        </w:rPr>
      </w:pPr>
      <w:r w:rsidRPr="004423F6">
        <w:rPr>
          <w:rStyle w:val="Textoennegrita"/>
          <w:rFonts w:ascii="Verdana" w:eastAsiaTheme="majorEastAsia" w:hAnsi="Verdana"/>
          <w:color w:val="000000"/>
          <w:sz w:val="20"/>
          <w:szCs w:val="20"/>
        </w:rPr>
        <w:t>Conversión:</w:t>
      </w:r>
      <w:r w:rsidR="00E7045D" w:rsidRPr="004423F6">
        <w:rPr>
          <w:rStyle w:val="apple-converted-space"/>
          <w:rFonts w:ascii="Verdana" w:eastAsiaTheme="majorEastAsia" w:hAnsi="Verdana"/>
          <w:color w:val="000000"/>
          <w:sz w:val="20"/>
          <w:szCs w:val="20"/>
        </w:rPr>
        <w:t xml:space="preserve"> </w:t>
      </w:r>
      <w:r w:rsidR="004423F6" w:rsidRPr="00435A28">
        <w:rPr>
          <w:rFonts w:ascii="Verdana" w:hAnsi="Verdana"/>
          <w:color w:val="000000"/>
          <w:sz w:val="20"/>
          <w:szCs w:val="20"/>
        </w:rPr>
        <w:t>Proceso mediante el cual</w:t>
      </w:r>
      <w:r w:rsidR="004423F6">
        <w:rPr>
          <w:rStyle w:val="apple-converted-space"/>
          <w:rFonts w:ascii="Verdana" w:hAnsi="Verdana"/>
          <w:color w:val="000000"/>
          <w:sz w:val="20"/>
          <w:szCs w:val="20"/>
        </w:rPr>
        <w:t xml:space="preserve"> </w:t>
      </w:r>
      <w:r w:rsidR="004423F6">
        <w:rPr>
          <w:rStyle w:val="Textoennegrita"/>
          <w:rFonts w:ascii="Verdana" w:eastAsiaTheme="majorEastAsia" w:hAnsi="Verdana"/>
          <w:b w:val="0"/>
          <w:bCs w:val="0"/>
          <w:color w:val="000000"/>
          <w:sz w:val="20"/>
          <w:szCs w:val="20"/>
        </w:rPr>
        <w:t>el</w:t>
      </w:r>
      <w:r w:rsidR="004423F6" w:rsidRPr="00435A28">
        <w:rPr>
          <w:rStyle w:val="Textoennegrita"/>
          <w:rFonts w:ascii="Verdana" w:eastAsiaTheme="majorEastAsia" w:hAnsi="Verdana"/>
          <w:b w:val="0"/>
          <w:bCs w:val="0"/>
          <w:color w:val="000000"/>
          <w:sz w:val="20"/>
          <w:szCs w:val="20"/>
        </w:rPr>
        <w:t xml:space="preserve"> usuario convierte manualmente el importe transferido en euros desde su </w:t>
      </w:r>
      <w:proofErr w:type="spellStart"/>
      <w:r w:rsidR="004423F6" w:rsidRPr="00435A28">
        <w:rPr>
          <w:rStyle w:val="Textoennegrita"/>
          <w:rFonts w:ascii="Verdana" w:eastAsiaTheme="majorEastAsia" w:hAnsi="Verdana"/>
          <w:b w:val="0"/>
          <w:bCs w:val="0"/>
          <w:color w:val="000000"/>
          <w:sz w:val="20"/>
          <w:szCs w:val="20"/>
        </w:rPr>
        <w:t>wallet</w:t>
      </w:r>
      <w:proofErr w:type="spellEnd"/>
      <w:r w:rsidR="004423F6" w:rsidRPr="00435A28">
        <w:rPr>
          <w:rStyle w:val="Textoennegrita"/>
          <w:rFonts w:ascii="Verdana" w:eastAsiaTheme="majorEastAsia" w:hAnsi="Verdana"/>
          <w:b w:val="0"/>
          <w:bCs w:val="0"/>
          <w:color w:val="000000"/>
          <w:sz w:val="20"/>
          <w:szCs w:val="20"/>
        </w:rPr>
        <w:t xml:space="preserve"> en Bit2Me a EURR</w:t>
      </w:r>
      <w:r w:rsidR="004423F6" w:rsidRPr="00435A28">
        <w:rPr>
          <w:rFonts w:ascii="Verdana" w:hAnsi="Verdana"/>
          <w:color w:val="000000"/>
          <w:sz w:val="20"/>
          <w:szCs w:val="20"/>
        </w:rPr>
        <w:t>, siendo este un paso previo obligatorio para formalizar la inversión en la plataforma</w:t>
      </w:r>
      <w:r w:rsidR="00E66026">
        <w:rPr>
          <w:rFonts w:ascii="Verdana" w:hAnsi="Verdana"/>
          <w:color w:val="000000"/>
          <w:sz w:val="20"/>
          <w:szCs w:val="20"/>
        </w:rPr>
        <w:t>.</w:t>
      </w:r>
    </w:p>
    <w:p w14:paraId="0000003B"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3" w:name="_Toc202892082"/>
      <w:r>
        <w:rPr>
          <w:rFonts w:ascii="Verdana" w:eastAsia="Verdana" w:hAnsi="Verdana" w:cs="Verdana"/>
          <w:b/>
          <w:color w:val="000000"/>
          <w:sz w:val="20"/>
          <w:szCs w:val="20"/>
        </w:rPr>
        <w:t>OBJETO Y FUNCIONALIDAD DE LA PLATAFORMA</w:t>
      </w:r>
      <w:bookmarkEnd w:id="3"/>
    </w:p>
    <w:p w14:paraId="0000003C"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b/>
          <w:sz w:val="20"/>
          <w:szCs w:val="20"/>
        </w:rPr>
        <w:t xml:space="preserve">VALORIX </w:t>
      </w:r>
      <w:r>
        <w:rPr>
          <w:rFonts w:ascii="Verdana" w:eastAsia="Verdana" w:hAnsi="Verdana" w:cs="Verdana"/>
          <w:sz w:val="20"/>
          <w:szCs w:val="20"/>
        </w:rPr>
        <w:t xml:space="preserve">permite la participación en emisiones de bonos </w:t>
      </w:r>
      <w:proofErr w:type="spellStart"/>
      <w:r>
        <w:rPr>
          <w:rFonts w:ascii="Verdana" w:eastAsia="Verdana" w:hAnsi="Verdana" w:cs="Verdana"/>
          <w:sz w:val="20"/>
          <w:szCs w:val="20"/>
        </w:rPr>
        <w:t>tokenizados</w:t>
      </w:r>
      <w:proofErr w:type="spellEnd"/>
      <w:r>
        <w:rPr>
          <w:rFonts w:ascii="Verdana" w:eastAsia="Verdana" w:hAnsi="Verdana" w:cs="Verdana"/>
          <w:sz w:val="20"/>
          <w:szCs w:val="20"/>
        </w:rPr>
        <w:t>. El sistema opera bajo TRD y requiere que los usuarios realicen previamente un registro en Bit2Me, completando su proceso de verificación de identidad (KYC) y aceptando sus propios términos y condiciones.</w:t>
      </w:r>
    </w:p>
    <w:p w14:paraId="0000003D"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La Plataforma actúa como infraestructura digital para la contratación electrónica, custodia técnica y gestión de derechos económicos asociados a los bonos, garantizando la integridad y transparencia del proceso de inversión.</w:t>
      </w:r>
    </w:p>
    <w:p w14:paraId="0000003E"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4" w:name="_Toc202892083"/>
      <w:r>
        <w:rPr>
          <w:rFonts w:ascii="Verdana" w:eastAsia="Verdana" w:hAnsi="Verdana" w:cs="Verdana"/>
          <w:b/>
          <w:color w:val="000000"/>
          <w:sz w:val="20"/>
          <w:szCs w:val="20"/>
        </w:rPr>
        <w:t>PROCESO DE CONTRATACIÓN Y ONBOARDING</w:t>
      </w:r>
      <w:bookmarkEnd w:id="4"/>
    </w:p>
    <w:p w14:paraId="0000003F" w14:textId="12003068" w:rsidR="006E1E13" w:rsidRDefault="00E924CE">
      <w:pPr>
        <w:numPr>
          <w:ilvl w:val="0"/>
          <w:numId w:val="1"/>
        </w:num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Registro Inicial</w:t>
      </w:r>
      <w:r>
        <w:rPr>
          <w:rFonts w:ascii="Verdana" w:eastAsia="Verdana" w:hAnsi="Verdana" w:cs="Verdana"/>
          <w:color w:val="000000"/>
          <w:sz w:val="20"/>
          <w:szCs w:val="20"/>
        </w:rPr>
        <w:t>: El usuario será redirigido a</w:t>
      </w:r>
      <w:r w:rsidR="008047FE">
        <w:rPr>
          <w:rFonts w:ascii="Verdana" w:eastAsia="Verdana" w:hAnsi="Verdana" w:cs="Verdana"/>
          <w:color w:val="000000"/>
          <w:sz w:val="20"/>
          <w:szCs w:val="20"/>
        </w:rPr>
        <w:t xml:space="preserve">l Proveedor de Servicios de Criptoactivos </w:t>
      </w:r>
      <w:r>
        <w:rPr>
          <w:rFonts w:ascii="Verdana" w:eastAsia="Verdana" w:hAnsi="Verdana" w:cs="Verdana"/>
          <w:color w:val="000000"/>
          <w:sz w:val="20"/>
          <w:szCs w:val="20"/>
        </w:rPr>
        <w:t>Bit2Me para crear una cuenta y realizar el KYC.</w:t>
      </w:r>
    </w:p>
    <w:p w14:paraId="00000040" w14:textId="77777777" w:rsidR="006E1E13" w:rsidRDefault="00E924CE">
      <w:pPr>
        <w:numPr>
          <w:ilvl w:val="0"/>
          <w:numId w:val="1"/>
        </w:num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Aceptación previa</w:t>
      </w:r>
      <w:r>
        <w:rPr>
          <w:rFonts w:ascii="Verdana" w:eastAsia="Verdana" w:hAnsi="Verdana" w:cs="Verdana"/>
          <w:color w:val="000000"/>
          <w:sz w:val="20"/>
          <w:szCs w:val="20"/>
        </w:rPr>
        <w:t xml:space="preserve">: Antes de continuar, se requerirá la aceptación expresa de la Política de Privacidad de </w:t>
      </w:r>
      <w:r>
        <w:rPr>
          <w:rFonts w:ascii="Verdana" w:eastAsia="Verdana" w:hAnsi="Verdana" w:cs="Verdana"/>
          <w:b/>
          <w:color w:val="000000"/>
          <w:sz w:val="20"/>
          <w:szCs w:val="20"/>
        </w:rPr>
        <w:t>VALORIX</w:t>
      </w:r>
      <w:r>
        <w:rPr>
          <w:rFonts w:ascii="Verdana" w:eastAsia="Verdana" w:hAnsi="Verdana" w:cs="Verdana"/>
          <w:color w:val="000000"/>
          <w:sz w:val="20"/>
          <w:szCs w:val="20"/>
        </w:rPr>
        <w:t>.</w:t>
      </w:r>
    </w:p>
    <w:p w14:paraId="00000041" w14:textId="2C4DBBF5" w:rsidR="006E1E13" w:rsidRDefault="00E924CE">
      <w:pPr>
        <w:numPr>
          <w:ilvl w:val="0"/>
          <w:numId w:val="1"/>
        </w:num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Aceptación contractual</w:t>
      </w:r>
      <w:r>
        <w:rPr>
          <w:rFonts w:ascii="Verdana" w:eastAsia="Verdana" w:hAnsi="Verdana" w:cs="Verdana"/>
          <w:color w:val="000000"/>
          <w:sz w:val="20"/>
          <w:szCs w:val="20"/>
        </w:rPr>
        <w:t xml:space="preserve">: Posteriormente, el usuario deberá aceptar las </w:t>
      </w:r>
      <w:r w:rsidR="002B75AC">
        <w:rPr>
          <w:rFonts w:ascii="Verdana" w:eastAsia="Verdana" w:hAnsi="Verdana" w:cs="Verdana"/>
          <w:color w:val="000000"/>
          <w:sz w:val="20"/>
          <w:szCs w:val="20"/>
        </w:rPr>
        <w:t>CGC</w:t>
      </w:r>
      <w:r>
        <w:rPr>
          <w:rFonts w:ascii="Verdana" w:eastAsia="Verdana" w:hAnsi="Verdana" w:cs="Verdana"/>
          <w:color w:val="000000"/>
          <w:sz w:val="20"/>
          <w:szCs w:val="20"/>
        </w:rPr>
        <w:t>. Esta aceptación se documentará electrónicamente, con acuse vía correo.</w:t>
      </w:r>
    </w:p>
    <w:p w14:paraId="00000042" w14:textId="77777777" w:rsidR="006E1E13" w:rsidRDefault="00E924CE">
      <w:pPr>
        <w:numPr>
          <w:ilvl w:val="0"/>
          <w:numId w:val="1"/>
        </w:num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Test de conveniencia:</w:t>
      </w:r>
      <w:r>
        <w:rPr>
          <w:rFonts w:ascii="Verdana" w:eastAsia="Verdana" w:hAnsi="Verdana" w:cs="Verdana"/>
          <w:color w:val="000000"/>
          <w:sz w:val="20"/>
          <w:szCs w:val="20"/>
        </w:rPr>
        <w:t xml:space="preserve"> Superación obligatoria del Test de Conveniencia conforme a </w:t>
      </w:r>
      <w:proofErr w:type="spellStart"/>
      <w:r>
        <w:rPr>
          <w:rFonts w:ascii="Verdana" w:eastAsia="Verdana" w:hAnsi="Verdana" w:cs="Verdana"/>
          <w:color w:val="000000"/>
          <w:sz w:val="20"/>
          <w:szCs w:val="20"/>
        </w:rPr>
        <w:t>MiFID</w:t>
      </w:r>
      <w:proofErr w:type="spellEnd"/>
      <w:r>
        <w:rPr>
          <w:rFonts w:ascii="Verdana" w:eastAsia="Verdana" w:hAnsi="Verdana" w:cs="Verdana"/>
          <w:color w:val="000000"/>
          <w:sz w:val="20"/>
          <w:szCs w:val="20"/>
        </w:rPr>
        <w:t xml:space="preserve"> II y LMVSI.</w:t>
      </w:r>
    </w:p>
    <w:p w14:paraId="00000043" w14:textId="77777777" w:rsidR="006E1E13" w:rsidRDefault="00E924CE">
      <w:pPr>
        <w:numPr>
          <w:ilvl w:val="0"/>
          <w:numId w:val="1"/>
        </w:num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Acceso completo</w:t>
      </w:r>
      <w:r>
        <w:rPr>
          <w:rFonts w:ascii="Verdana" w:eastAsia="Verdana" w:hAnsi="Verdana" w:cs="Verdana"/>
          <w:color w:val="000000"/>
          <w:sz w:val="20"/>
          <w:szCs w:val="20"/>
        </w:rPr>
        <w:t xml:space="preserve">: Completado el proceso, se desplegará una SCA en </w:t>
      </w:r>
      <w:proofErr w:type="spellStart"/>
      <w:r>
        <w:rPr>
          <w:rFonts w:ascii="Verdana" w:eastAsia="Verdana" w:hAnsi="Verdana" w:cs="Verdana"/>
          <w:color w:val="000000"/>
          <w:sz w:val="20"/>
          <w:szCs w:val="20"/>
        </w:rPr>
        <w:t>blockchain</w:t>
      </w:r>
      <w:proofErr w:type="spellEnd"/>
      <w:r>
        <w:rPr>
          <w:rFonts w:ascii="Verdana" w:eastAsia="Verdana" w:hAnsi="Verdana" w:cs="Verdana"/>
          <w:color w:val="000000"/>
          <w:sz w:val="20"/>
          <w:szCs w:val="20"/>
        </w:rPr>
        <w:t>, asociada pseudónimamente al usuario.</w:t>
      </w:r>
    </w:p>
    <w:p w14:paraId="00000044" w14:textId="10FF61CC" w:rsidR="006E1E13" w:rsidRDefault="00E924CE">
      <w:pPr>
        <w:numPr>
          <w:ilvl w:val="0"/>
          <w:numId w:val="1"/>
        </w:num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Pr>
          <w:rFonts w:ascii="Verdana" w:eastAsia="Verdana" w:hAnsi="Verdana" w:cs="Verdana"/>
          <w:b/>
          <w:color w:val="000000"/>
          <w:sz w:val="20"/>
          <w:szCs w:val="20"/>
        </w:rPr>
        <w:t>Visualización de operaciones</w:t>
      </w:r>
      <w:r>
        <w:rPr>
          <w:rFonts w:ascii="Verdana" w:eastAsia="Verdana" w:hAnsi="Verdana" w:cs="Verdana"/>
          <w:color w:val="000000"/>
          <w:sz w:val="20"/>
          <w:szCs w:val="20"/>
        </w:rPr>
        <w:t xml:space="preserve">: La plataforma permite la verificación de las transacciones </w:t>
      </w:r>
      <w:proofErr w:type="spellStart"/>
      <w:r>
        <w:rPr>
          <w:rFonts w:ascii="Verdana" w:eastAsia="Verdana" w:hAnsi="Verdana" w:cs="Verdana"/>
          <w:i/>
          <w:color w:val="000000"/>
          <w:sz w:val="20"/>
          <w:szCs w:val="20"/>
        </w:rPr>
        <w:t>on-chain</w:t>
      </w:r>
      <w:proofErr w:type="spellEnd"/>
      <w:r>
        <w:rPr>
          <w:rFonts w:ascii="Verdana" w:eastAsia="Verdana" w:hAnsi="Verdana" w:cs="Verdana"/>
          <w:color w:val="000000"/>
          <w:sz w:val="20"/>
          <w:szCs w:val="20"/>
        </w:rPr>
        <w:t xml:space="preserve"> (creación de la SCA, </w:t>
      </w:r>
      <w:proofErr w:type="spellStart"/>
      <w:r>
        <w:rPr>
          <w:rFonts w:ascii="Verdana" w:eastAsia="Verdana" w:hAnsi="Verdana" w:cs="Verdana"/>
          <w:color w:val="000000"/>
          <w:sz w:val="20"/>
          <w:szCs w:val="20"/>
        </w:rPr>
        <w:t>minteo</w:t>
      </w:r>
      <w:proofErr w:type="spellEnd"/>
      <w:r>
        <w:rPr>
          <w:rFonts w:ascii="Verdana" w:eastAsia="Verdana" w:hAnsi="Verdana" w:cs="Verdana"/>
          <w:color w:val="000000"/>
          <w:sz w:val="20"/>
          <w:szCs w:val="20"/>
        </w:rPr>
        <w:t>/asignación, quemado/canc</w:t>
      </w:r>
      <w:r w:rsidR="00333B01">
        <w:rPr>
          <w:rFonts w:ascii="Verdana" w:eastAsia="Verdana" w:hAnsi="Verdana" w:cs="Verdana"/>
          <w:color w:val="000000"/>
          <w:sz w:val="20"/>
          <w:szCs w:val="20"/>
        </w:rPr>
        <w:t>e</w:t>
      </w:r>
      <w:r>
        <w:rPr>
          <w:rFonts w:ascii="Verdana" w:eastAsia="Verdana" w:hAnsi="Verdana" w:cs="Verdana"/>
          <w:color w:val="000000"/>
          <w:sz w:val="20"/>
          <w:szCs w:val="20"/>
        </w:rPr>
        <w:t>lación y amortización).</w:t>
      </w:r>
    </w:p>
    <w:p w14:paraId="2F4C28E6" w14:textId="2308F4D5" w:rsidR="004C3EE9" w:rsidRDefault="004C3EE9" w:rsidP="3D594782">
      <w:pPr>
        <w:numPr>
          <w:ilvl w:val="0"/>
          <w:numId w:val="1"/>
        </w:numPr>
        <w:pBdr>
          <w:top w:val="nil"/>
          <w:left w:val="nil"/>
          <w:bottom w:val="nil"/>
          <w:right w:val="nil"/>
          <w:between w:val="nil"/>
        </w:pBdr>
        <w:spacing w:before="240" w:after="240" w:line="360" w:lineRule="auto"/>
        <w:jc w:val="both"/>
        <w:rPr>
          <w:rFonts w:ascii="Verdana" w:eastAsia="Verdana" w:hAnsi="Verdana" w:cs="Verdana"/>
          <w:color w:val="000000"/>
          <w:sz w:val="20"/>
          <w:szCs w:val="20"/>
        </w:rPr>
      </w:pPr>
      <w:r w:rsidRPr="3D594782">
        <w:rPr>
          <w:rFonts w:ascii="Verdana" w:eastAsia="Verdana" w:hAnsi="Verdana" w:cs="Verdana"/>
          <w:b/>
          <w:bCs/>
          <w:color w:val="000000" w:themeColor="text1"/>
          <w:sz w:val="20"/>
          <w:szCs w:val="20"/>
        </w:rPr>
        <w:lastRenderedPageBreak/>
        <w:t>Para realizar cualquier inversión</w:t>
      </w:r>
      <w:r w:rsidRPr="3D594782">
        <w:rPr>
          <w:rFonts w:ascii="Verdana" w:eastAsia="Verdana" w:hAnsi="Verdana" w:cs="Verdana"/>
          <w:color w:val="000000" w:themeColor="text1"/>
          <w:sz w:val="20"/>
          <w:szCs w:val="20"/>
        </w:rPr>
        <w:t xml:space="preserve">, el usuario deberá disponer de saldo en </w:t>
      </w:r>
      <w:r w:rsidR="008348E0" w:rsidRPr="3D594782">
        <w:rPr>
          <w:rFonts w:ascii="Verdana" w:eastAsia="Verdana" w:hAnsi="Verdana" w:cs="Verdana"/>
          <w:color w:val="000000" w:themeColor="text1"/>
          <w:sz w:val="20"/>
          <w:szCs w:val="20"/>
        </w:rPr>
        <w:t>EURR</w:t>
      </w:r>
      <w:r w:rsidR="00EB426F">
        <w:rPr>
          <w:rFonts w:ascii="Verdana" w:eastAsia="Verdana" w:hAnsi="Verdana" w:cs="Verdana"/>
          <w:color w:val="000000" w:themeColor="text1"/>
          <w:sz w:val="20"/>
          <w:szCs w:val="20"/>
        </w:rPr>
        <w:t xml:space="preserve"> en la Plataforma de Bit2Me</w:t>
      </w:r>
      <w:r w:rsidRPr="3D594782">
        <w:rPr>
          <w:rFonts w:ascii="Verdana" w:eastAsia="Verdana" w:hAnsi="Verdana" w:cs="Verdana"/>
          <w:color w:val="000000" w:themeColor="text1"/>
          <w:sz w:val="20"/>
          <w:szCs w:val="20"/>
        </w:rPr>
        <w:t xml:space="preserve">, moneda estable vinculada al euro utilizada como medio exclusivo de inversión en la </w:t>
      </w:r>
      <w:r w:rsidR="0087733F">
        <w:rPr>
          <w:rFonts w:ascii="Verdana" w:eastAsia="Verdana" w:hAnsi="Verdana" w:cs="Verdana"/>
          <w:color w:val="000000" w:themeColor="text1"/>
          <w:sz w:val="20"/>
          <w:szCs w:val="20"/>
        </w:rPr>
        <w:t xml:space="preserve">plataforma </w:t>
      </w:r>
      <w:proofErr w:type="spellStart"/>
      <w:r w:rsidR="0087733F">
        <w:rPr>
          <w:rFonts w:ascii="Verdana" w:eastAsia="Verdana" w:hAnsi="Verdana" w:cs="Verdana"/>
          <w:color w:val="000000" w:themeColor="text1"/>
          <w:sz w:val="20"/>
          <w:szCs w:val="20"/>
        </w:rPr>
        <w:t>Valorix</w:t>
      </w:r>
      <w:proofErr w:type="spellEnd"/>
      <w:r w:rsidRPr="3D594782">
        <w:rPr>
          <w:rFonts w:ascii="Verdana" w:eastAsia="Verdana" w:hAnsi="Verdana" w:cs="Verdana"/>
          <w:color w:val="000000" w:themeColor="text1"/>
          <w:sz w:val="20"/>
          <w:szCs w:val="20"/>
        </w:rPr>
        <w:t>.</w:t>
      </w:r>
    </w:p>
    <w:p w14:paraId="07EB4BFD" w14:textId="21C41C15" w:rsidR="004C3EE9" w:rsidRPr="003F369B" w:rsidRDefault="00333B01" w:rsidP="00A96002">
      <w:pPr>
        <w:pBdr>
          <w:top w:val="nil"/>
          <w:left w:val="nil"/>
          <w:bottom w:val="nil"/>
          <w:right w:val="nil"/>
          <w:between w:val="nil"/>
        </w:pBdr>
        <w:spacing w:before="240" w:after="240" w:line="360" w:lineRule="auto"/>
        <w:ind w:left="360"/>
        <w:jc w:val="both"/>
        <w:rPr>
          <w:rFonts w:ascii="Verdana" w:eastAsia="Verdana" w:hAnsi="Verdana" w:cs="Verdana"/>
          <w:bCs/>
          <w:color w:val="000000"/>
          <w:sz w:val="20"/>
          <w:szCs w:val="20"/>
        </w:rPr>
      </w:pPr>
      <w:r>
        <w:rPr>
          <w:rFonts w:ascii="Verdana" w:eastAsia="Verdana" w:hAnsi="Verdana" w:cs="Verdana"/>
          <w:bCs/>
          <w:color w:val="000000"/>
          <w:sz w:val="20"/>
          <w:szCs w:val="20"/>
        </w:rPr>
        <w:t>El usuario podrá convertir</w:t>
      </w:r>
      <w:r w:rsidR="00E65120">
        <w:rPr>
          <w:rFonts w:ascii="Verdana" w:eastAsia="Verdana" w:hAnsi="Verdana" w:cs="Verdana"/>
          <w:bCs/>
          <w:color w:val="000000"/>
          <w:sz w:val="20"/>
          <w:szCs w:val="20"/>
        </w:rPr>
        <w:t xml:space="preserve"> </w:t>
      </w:r>
      <w:proofErr w:type="gramStart"/>
      <w:r w:rsidR="00E65120">
        <w:rPr>
          <w:rFonts w:ascii="Verdana" w:eastAsia="Verdana" w:hAnsi="Verdana" w:cs="Verdana"/>
          <w:bCs/>
          <w:color w:val="000000"/>
          <w:sz w:val="20"/>
          <w:szCs w:val="20"/>
        </w:rPr>
        <w:t>Euros</w:t>
      </w:r>
      <w:proofErr w:type="gramEnd"/>
      <w:r w:rsidR="00E65120">
        <w:rPr>
          <w:rFonts w:ascii="Verdana" w:eastAsia="Verdana" w:hAnsi="Verdana" w:cs="Verdana"/>
          <w:bCs/>
          <w:color w:val="000000"/>
          <w:sz w:val="20"/>
          <w:szCs w:val="20"/>
        </w:rPr>
        <w:t xml:space="preserve"> a EURR a través de la </w:t>
      </w:r>
      <w:r w:rsidR="0087733F">
        <w:rPr>
          <w:rFonts w:ascii="Verdana" w:eastAsia="Verdana" w:hAnsi="Verdana" w:cs="Verdana"/>
          <w:color w:val="000000" w:themeColor="text1"/>
          <w:sz w:val="20"/>
          <w:szCs w:val="20"/>
        </w:rPr>
        <w:t xml:space="preserve">plataforma </w:t>
      </w:r>
      <w:proofErr w:type="spellStart"/>
      <w:r w:rsidR="0087733F">
        <w:rPr>
          <w:rFonts w:ascii="Verdana" w:eastAsia="Verdana" w:hAnsi="Verdana" w:cs="Verdana"/>
          <w:color w:val="000000" w:themeColor="text1"/>
          <w:sz w:val="20"/>
          <w:szCs w:val="20"/>
        </w:rPr>
        <w:t>Valorix</w:t>
      </w:r>
      <w:proofErr w:type="spellEnd"/>
      <w:r w:rsidR="00E65120">
        <w:rPr>
          <w:rFonts w:ascii="Verdana" w:eastAsia="Verdana" w:hAnsi="Verdana" w:cs="Verdana"/>
          <w:bCs/>
          <w:color w:val="000000"/>
          <w:sz w:val="20"/>
          <w:szCs w:val="20"/>
        </w:rPr>
        <w:t xml:space="preserve">. </w:t>
      </w:r>
      <w:r w:rsidR="001E68C2" w:rsidRPr="001E68C2">
        <w:rPr>
          <w:rFonts w:ascii="Verdana" w:eastAsia="Verdana" w:hAnsi="Verdana" w:cs="Verdana"/>
          <w:bCs/>
          <w:color w:val="000000"/>
          <w:sz w:val="20"/>
          <w:szCs w:val="20"/>
        </w:rPr>
        <w:t>La conversión será gestionada por Bit2Me conforme a las condiciones vigentes en cada momento, en los términos descritos en el apartado 9 de las presentes CGC</w:t>
      </w:r>
      <w:r w:rsidR="004C3EE9" w:rsidRPr="003F369B">
        <w:rPr>
          <w:rFonts w:ascii="Verdana" w:eastAsia="Verdana" w:hAnsi="Verdana" w:cs="Verdana"/>
          <w:bCs/>
          <w:color w:val="000000"/>
          <w:sz w:val="20"/>
          <w:szCs w:val="20"/>
        </w:rPr>
        <w:t>.</w:t>
      </w:r>
      <w:r w:rsidR="00A96002">
        <w:rPr>
          <w:rFonts w:ascii="Verdana" w:eastAsia="Verdana" w:hAnsi="Verdana" w:cs="Verdana"/>
          <w:bCs/>
          <w:color w:val="000000"/>
          <w:sz w:val="20"/>
          <w:szCs w:val="20"/>
        </w:rPr>
        <w:t xml:space="preserve"> </w:t>
      </w:r>
      <w:r w:rsidR="004C3EE9" w:rsidRPr="003F369B">
        <w:rPr>
          <w:rFonts w:ascii="Verdana" w:eastAsia="Verdana" w:hAnsi="Verdana" w:cs="Verdana"/>
          <w:bCs/>
          <w:color w:val="000000"/>
          <w:sz w:val="20"/>
          <w:szCs w:val="20"/>
        </w:rPr>
        <w:t>La inversión se considera efectiva una vez completada esta conversión y formalizada la adquisición del bono.</w:t>
      </w:r>
    </w:p>
    <w:p w14:paraId="00000045" w14:textId="1DA0097C" w:rsidR="006E1E13" w:rsidRDefault="6FD77FE1">
      <w:pPr>
        <w:spacing w:before="240" w:after="240" w:line="360" w:lineRule="auto"/>
        <w:jc w:val="both"/>
        <w:rPr>
          <w:rFonts w:ascii="Verdana" w:eastAsia="Verdana" w:hAnsi="Verdana" w:cs="Verdana"/>
          <w:sz w:val="20"/>
          <w:szCs w:val="20"/>
        </w:rPr>
      </w:pPr>
      <w:r w:rsidRPr="0A7E8932">
        <w:rPr>
          <w:rFonts w:ascii="Verdana" w:eastAsia="Verdana" w:hAnsi="Verdana" w:cs="Verdana"/>
          <w:sz w:val="20"/>
          <w:szCs w:val="20"/>
        </w:rPr>
        <w:t xml:space="preserve">En caso de que el usuario no complete el proceso de </w:t>
      </w:r>
      <w:proofErr w:type="spellStart"/>
      <w:r w:rsidRPr="0A7E8932">
        <w:rPr>
          <w:rFonts w:ascii="Verdana" w:eastAsia="Verdana" w:hAnsi="Verdana" w:cs="Verdana"/>
          <w:sz w:val="20"/>
          <w:szCs w:val="20"/>
        </w:rPr>
        <w:t>onboarding</w:t>
      </w:r>
      <w:proofErr w:type="spellEnd"/>
      <w:r w:rsidRPr="0A7E8932">
        <w:rPr>
          <w:rFonts w:ascii="Verdana" w:eastAsia="Verdana" w:hAnsi="Verdana" w:cs="Verdana"/>
          <w:sz w:val="20"/>
          <w:szCs w:val="20"/>
        </w:rPr>
        <w:t xml:space="preserve"> en Bit2Me, únicamente podrá acceder a la plataforma</w:t>
      </w:r>
      <w:r w:rsidR="06294627" w:rsidRPr="0A7E8932">
        <w:rPr>
          <w:rFonts w:ascii="Verdana" w:eastAsia="Verdana" w:hAnsi="Verdana" w:cs="Verdana"/>
          <w:sz w:val="20"/>
          <w:szCs w:val="20"/>
        </w:rPr>
        <w:t xml:space="preserve"> </w:t>
      </w:r>
      <w:proofErr w:type="spellStart"/>
      <w:r w:rsidR="06294627" w:rsidRPr="0A7E8932">
        <w:rPr>
          <w:rFonts w:ascii="Verdana" w:eastAsia="Verdana" w:hAnsi="Verdana" w:cs="Verdana"/>
          <w:sz w:val="20"/>
          <w:szCs w:val="20"/>
        </w:rPr>
        <w:t>Valorix</w:t>
      </w:r>
      <w:proofErr w:type="spellEnd"/>
      <w:r w:rsidRPr="0A7E8932">
        <w:rPr>
          <w:rFonts w:ascii="Verdana" w:eastAsia="Verdana" w:hAnsi="Verdana" w:cs="Verdana"/>
          <w:sz w:val="20"/>
          <w:szCs w:val="20"/>
        </w:rPr>
        <w:t xml:space="preserve"> con carácter informativo, en calidad de “</w:t>
      </w:r>
      <w:r w:rsidRPr="009F60F2">
        <w:rPr>
          <w:rFonts w:ascii="Verdana" w:eastAsia="Verdana" w:hAnsi="Verdana" w:cs="Verdana"/>
          <w:sz w:val="20"/>
          <w:szCs w:val="20"/>
        </w:rPr>
        <w:t>usuario pendiente de verificación</w:t>
      </w:r>
      <w:r w:rsidRPr="0A7E8932">
        <w:rPr>
          <w:rFonts w:ascii="Verdana" w:eastAsia="Verdana" w:hAnsi="Verdana" w:cs="Verdana"/>
          <w:sz w:val="20"/>
          <w:szCs w:val="20"/>
        </w:rPr>
        <w:t>”. Este acceso se limitará estrictamente a la visualización pública de determinadas emisiones disponibles, sin posibilidad de interactuar con la plataforma, realizar operaciones o visualizar información personalizada. El acceso completo requerirá la finalización satisfactoria del proceso de verificación de identidad (KYC) y aceptación de las CGC</w:t>
      </w:r>
      <w:r w:rsidR="5F0DF6FE" w:rsidRPr="0A7E8932">
        <w:rPr>
          <w:rFonts w:ascii="Verdana" w:eastAsia="Verdana" w:hAnsi="Verdana" w:cs="Verdana"/>
          <w:sz w:val="20"/>
          <w:szCs w:val="20"/>
        </w:rPr>
        <w:t>.</w:t>
      </w:r>
      <w:r w:rsidR="00BF392F">
        <w:rPr>
          <w:rFonts w:ascii="Verdana" w:eastAsia="Verdana" w:hAnsi="Verdana" w:cs="Verdana"/>
          <w:sz w:val="20"/>
          <w:szCs w:val="20"/>
        </w:rPr>
        <w:t xml:space="preserve"> </w:t>
      </w:r>
      <w:r w:rsidR="009F60F2" w:rsidRPr="009F60F2">
        <w:rPr>
          <w:rFonts w:ascii="Verdana" w:eastAsia="Verdana" w:hAnsi="Verdana" w:cs="Verdana"/>
          <w:sz w:val="20"/>
          <w:szCs w:val="20"/>
        </w:rPr>
        <w:t>Dicho acceso informativo tendrá una duración máxima de treinta (30) días naturales desde el inicio del proceso de alta, transcurridos los cuales el usuario deberá reiniciar íntegramente el proceso de registro para poder volver a acceder a la plataforma.</w:t>
      </w:r>
    </w:p>
    <w:p w14:paraId="00000046" w14:textId="3BED93B5" w:rsidR="006E1E13" w:rsidRDefault="007C0677">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El Proveedor de Servicios de Criptoactivos </w:t>
      </w:r>
      <w:r w:rsidR="00E924CE">
        <w:rPr>
          <w:rFonts w:ascii="Verdana" w:eastAsia="Verdana" w:hAnsi="Verdana" w:cs="Verdana"/>
          <w:sz w:val="20"/>
          <w:szCs w:val="20"/>
        </w:rPr>
        <w:t xml:space="preserve">Bit2Me se reserva el derecho de revocar el </w:t>
      </w:r>
      <w:proofErr w:type="spellStart"/>
      <w:r w:rsidR="00E924CE" w:rsidRPr="0087733F">
        <w:rPr>
          <w:rFonts w:ascii="Verdana" w:eastAsia="Verdana" w:hAnsi="Verdana" w:cs="Verdana"/>
          <w:iCs/>
          <w:sz w:val="20"/>
          <w:szCs w:val="20"/>
        </w:rPr>
        <w:t>onboarding</w:t>
      </w:r>
      <w:proofErr w:type="spellEnd"/>
      <w:r w:rsidR="00E924CE">
        <w:rPr>
          <w:rFonts w:ascii="Verdana" w:eastAsia="Verdana" w:hAnsi="Verdana" w:cs="Verdana"/>
          <w:sz w:val="20"/>
          <w:szCs w:val="20"/>
        </w:rPr>
        <w:t xml:space="preserve"> si el usuario no cumple con los requisitos establecidos, como la falta de documentos necesarios, entre otros.</w:t>
      </w:r>
    </w:p>
    <w:p w14:paraId="00000047" w14:textId="77777777" w:rsidR="006E1E13" w:rsidRDefault="00E924CE">
      <w:pPr>
        <w:pStyle w:val="Ttulo1"/>
        <w:numPr>
          <w:ilvl w:val="0"/>
          <w:numId w:val="2"/>
        </w:numPr>
        <w:spacing w:before="240" w:after="240" w:line="360" w:lineRule="auto"/>
        <w:rPr>
          <w:rFonts w:ascii="Verdana" w:eastAsia="Verdana" w:hAnsi="Verdana" w:cs="Verdana"/>
          <w:b/>
          <w:sz w:val="20"/>
          <w:szCs w:val="20"/>
        </w:rPr>
      </w:pPr>
      <w:bookmarkStart w:id="5" w:name="_Toc202892084"/>
      <w:r>
        <w:rPr>
          <w:rFonts w:ascii="Verdana" w:eastAsia="Verdana" w:hAnsi="Verdana" w:cs="Verdana"/>
          <w:b/>
          <w:color w:val="000000"/>
          <w:sz w:val="20"/>
          <w:szCs w:val="20"/>
        </w:rPr>
        <w:t>ADQUISICIÓN DE BONOS TOKENIZADOS MEDIANTE TRD</w:t>
      </w:r>
      <w:bookmarkEnd w:id="5"/>
    </w:p>
    <w:p w14:paraId="5E30B47B" w14:textId="348161D7" w:rsidR="00306127" w:rsidRPr="00BB5033" w:rsidRDefault="00E924CE" w:rsidP="00BB5033">
      <w:pPr>
        <w:pStyle w:val="p1"/>
        <w:spacing w:line="360" w:lineRule="auto"/>
        <w:jc w:val="both"/>
        <w:rPr>
          <w:rFonts w:ascii="Verdana" w:eastAsia="Verdana" w:hAnsi="Verdana" w:cs="Verdana"/>
          <w:sz w:val="20"/>
          <w:szCs w:val="20"/>
        </w:rPr>
      </w:pPr>
      <w:r w:rsidRPr="006F5F45">
        <w:rPr>
          <w:rFonts w:ascii="Verdana" w:eastAsia="Verdana" w:hAnsi="Verdana" w:cs="Verdana"/>
          <w:sz w:val="20"/>
          <w:szCs w:val="20"/>
        </w:rPr>
        <w:t xml:space="preserve">Para adquirir bonos </w:t>
      </w:r>
      <w:proofErr w:type="spellStart"/>
      <w:r w:rsidRPr="006F5F45">
        <w:rPr>
          <w:rFonts w:ascii="Verdana" w:eastAsia="Verdana" w:hAnsi="Verdana" w:cs="Verdana"/>
          <w:sz w:val="20"/>
          <w:szCs w:val="20"/>
        </w:rPr>
        <w:t>tokenizados</w:t>
      </w:r>
      <w:proofErr w:type="spellEnd"/>
      <w:r w:rsidRPr="006F5F45">
        <w:rPr>
          <w:rFonts w:ascii="Verdana" w:eastAsia="Verdana" w:hAnsi="Verdana" w:cs="Verdana"/>
          <w:sz w:val="20"/>
          <w:szCs w:val="20"/>
        </w:rPr>
        <w:t xml:space="preserve"> a través de la </w:t>
      </w:r>
      <w:r w:rsidR="0087733F">
        <w:rPr>
          <w:rFonts w:ascii="Verdana" w:eastAsia="Verdana" w:hAnsi="Verdana" w:cs="Verdana"/>
          <w:color w:val="000000" w:themeColor="text1"/>
          <w:sz w:val="20"/>
          <w:szCs w:val="20"/>
        </w:rPr>
        <w:t xml:space="preserve">plataforma </w:t>
      </w:r>
      <w:proofErr w:type="spellStart"/>
      <w:r w:rsidR="0087733F">
        <w:rPr>
          <w:rFonts w:ascii="Verdana" w:eastAsia="Verdana" w:hAnsi="Verdana" w:cs="Verdana"/>
          <w:color w:val="000000" w:themeColor="text1"/>
          <w:sz w:val="20"/>
          <w:szCs w:val="20"/>
        </w:rPr>
        <w:t>Valorix</w:t>
      </w:r>
      <w:proofErr w:type="spellEnd"/>
      <w:r w:rsidRPr="006F5F45">
        <w:rPr>
          <w:rFonts w:ascii="Verdana" w:eastAsia="Verdana" w:hAnsi="Verdana" w:cs="Verdana"/>
          <w:sz w:val="20"/>
          <w:szCs w:val="20"/>
        </w:rPr>
        <w:t xml:space="preserve">, el usuario debe disponer de saldo en </w:t>
      </w:r>
      <w:r w:rsidR="007C0677">
        <w:rPr>
          <w:rFonts w:ascii="Verdana" w:eastAsia="Verdana" w:hAnsi="Verdana" w:cs="Verdana"/>
          <w:sz w:val="20"/>
          <w:szCs w:val="20"/>
        </w:rPr>
        <w:t>EURR</w:t>
      </w:r>
      <w:r w:rsidRPr="006F5F45">
        <w:rPr>
          <w:rFonts w:ascii="Verdana" w:eastAsia="Verdana" w:hAnsi="Verdana" w:cs="Verdana"/>
          <w:sz w:val="20"/>
          <w:szCs w:val="20"/>
        </w:rPr>
        <w:t xml:space="preserve"> en su </w:t>
      </w:r>
      <w:proofErr w:type="spellStart"/>
      <w:r w:rsidRPr="006F5F45">
        <w:rPr>
          <w:rFonts w:ascii="Verdana" w:eastAsia="Verdana" w:hAnsi="Verdana" w:cs="Verdana"/>
          <w:i/>
          <w:sz w:val="20"/>
          <w:szCs w:val="20"/>
        </w:rPr>
        <w:t>wallet</w:t>
      </w:r>
      <w:proofErr w:type="spellEnd"/>
      <w:r w:rsidRPr="006F5F45">
        <w:rPr>
          <w:rFonts w:ascii="Verdana" w:eastAsia="Verdana" w:hAnsi="Verdana" w:cs="Verdana"/>
          <w:sz w:val="20"/>
          <w:szCs w:val="20"/>
        </w:rPr>
        <w:t xml:space="preserve"> </w:t>
      </w:r>
      <w:r w:rsidR="00321F6C">
        <w:rPr>
          <w:rFonts w:ascii="Verdana" w:eastAsia="Verdana" w:hAnsi="Verdana" w:cs="Verdana"/>
          <w:sz w:val="20"/>
          <w:szCs w:val="20"/>
        </w:rPr>
        <w:t xml:space="preserve">custodio </w:t>
      </w:r>
      <w:r w:rsidRPr="006F5F45">
        <w:rPr>
          <w:rFonts w:ascii="Verdana" w:eastAsia="Verdana" w:hAnsi="Verdana" w:cs="Verdana"/>
          <w:sz w:val="20"/>
          <w:szCs w:val="20"/>
        </w:rPr>
        <w:t xml:space="preserve">de Bit2Me. La adquisición se formaliza mediante la </w:t>
      </w:r>
      <w:r w:rsidR="00321F6C">
        <w:rPr>
          <w:rFonts w:ascii="Verdana" w:eastAsia="Verdana" w:hAnsi="Verdana" w:cs="Verdana"/>
          <w:sz w:val="20"/>
          <w:szCs w:val="20"/>
        </w:rPr>
        <w:t xml:space="preserve">instrucción de </w:t>
      </w:r>
      <w:r w:rsidRPr="006F5F45">
        <w:rPr>
          <w:rFonts w:ascii="Verdana" w:eastAsia="Verdana" w:hAnsi="Verdana" w:cs="Verdana"/>
          <w:sz w:val="20"/>
          <w:szCs w:val="20"/>
        </w:rPr>
        <w:t xml:space="preserve">transferencia de fondos desde el </w:t>
      </w:r>
      <w:proofErr w:type="spellStart"/>
      <w:r w:rsidR="00E96772">
        <w:rPr>
          <w:rFonts w:ascii="Verdana" w:eastAsia="Verdana" w:hAnsi="Verdana" w:cs="Verdana"/>
          <w:sz w:val="20"/>
          <w:szCs w:val="20"/>
        </w:rPr>
        <w:t>wallet</w:t>
      </w:r>
      <w:proofErr w:type="spellEnd"/>
      <w:r w:rsidR="00E96772" w:rsidRPr="006F5F45">
        <w:rPr>
          <w:rFonts w:ascii="Verdana" w:eastAsia="Verdana" w:hAnsi="Verdana" w:cs="Verdana"/>
          <w:sz w:val="20"/>
          <w:szCs w:val="20"/>
        </w:rPr>
        <w:t xml:space="preserve"> </w:t>
      </w:r>
      <w:r w:rsidRPr="006F5F45">
        <w:rPr>
          <w:rFonts w:ascii="Verdana" w:eastAsia="Verdana" w:hAnsi="Verdana" w:cs="Verdana"/>
          <w:sz w:val="20"/>
          <w:szCs w:val="20"/>
        </w:rPr>
        <w:t xml:space="preserve">del usuario al </w:t>
      </w:r>
      <w:proofErr w:type="spellStart"/>
      <w:r w:rsidR="00E96772">
        <w:rPr>
          <w:rFonts w:ascii="Verdana" w:eastAsia="Verdana" w:hAnsi="Verdana" w:cs="Verdana"/>
          <w:sz w:val="20"/>
          <w:szCs w:val="20"/>
        </w:rPr>
        <w:t>wallet</w:t>
      </w:r>
      <w:proofErr w:type="spellEnd"/>
      <w:r w:rsidR="00E96772">
        <w:rPr>
          <w:rFonts w:ascii="Verdana" w:eastAsia="Verdana" w:hAnsi="Verdana" w:cs="Verdana"/>
          <w:sz w:val="20"/>
          <w:szCs w:val="20"/>
        </w:rPr>
        <w:t xml:space="preserve"> operativo</w:t>
      </w:r>
      <w:r w:rsidR="00E96772" w:rsidRPr="006F5F45">
        <w:rPr>
          <w:rFonts w:ascii="Verdana" w:eastAsia="Verdana" w:hAnsi="Verdana" w:cs="Verdana"/>
          <w:sz w:val="20"/>
          <w:szCs w:val="20"/>
        </w:rPr>
        <w:t xml:space="preserve"> </w:t>
      </w:r>
      <w:r w:rsidRPr="006F5F45">
        <w:rPr>
          <w:rFonts w:ascii="Verdana" w:eastAsia="Verdana" w:hAnsi="Verdana" w:cs="Verdana"/>
          <w:sz w:val="20"/>
          <w:szCs w:val="20"/>
        </w:rPr>
        <w:t xml:space="preserve">de </w:t>
      </w:r>
      <w:r w:rsidRPr="006F5F45">
        <w:rPr>
          <w:rFonts w:ascii="Verdana" w:eastAsia="Verdana" w:hAnsi="Verdana" w:cs="Verdana"/>
          <w:b/>
          <w:sz w:val="20"/>
          <w:szCs w:val="20"/>
        </w:rPr>
        <w:t>VALORIX</w:t>
      </w:r>
      <w:r w:rsidRPr="006F5F45">
        <w:rPr>
          <w:rFonts w:ascii="Verdana" w:eastAsia="Verdana" w:hAnsi="Verdana" w:cs="Verdana"/>
          <w:sz w:val="20"/>
          <w:szCs w:val="20"/>
        </w:rPr>
        <w:t xml:space="preserve"> en Bit2Me, </w:t>
      </w:r>
      <w:r w:rsidR="00306127" w:rsidRPr="00BB5033">
        <w:rPr>
          <w:rFonts w:ascii="Verdana" w:eastAsia="Verdana" w:hAnsi="Verdana" w:cs="Verdana"/>
          <w:sz w:val="20"/>
          <w:szCs w:val="20"/>
        </w:rPr>
        <w:t>y está condicionada a la aceptación previa, expresa y completa de las CGC por parte del usuario</w:t>
      </w:r>
      <w:r w:rsidR="002B75AC">
        <w:rPr>
          <w:rFonts w:ascii="Verdana" w:eastAsia="Verdana" w:hAnsi="Verdana" w:cs="Verdana"/>
          <w:sz w:val="20"/>
          <w:szCs w:val="20"/>
        </w:rPr>
        <w:t>.</w:t>
      </w:r>
    </w:p>
    <w:p w14:paraId="5B49A4E0" w14:textId="21978843" w:rsidR="00D67D5A" w:rsidRDefault="00277B4C" w:rsidP="00DE48BB">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Como paso previo obligatorio a la inversión, el usuario deberá </w:t>
      </w:r>
      <w:r w:rsidR="005F3C57">
        <w:rPr>
          <w:rFonts w:ascii="Verdana" w:eastAsia="Verdana" w:hAnsi="Verdana" w:cs="Verdana"/>
          <w:sz w:val="20"/>
          <w:szCs w:val="20"/>
        </w:rPr>
        <w:t xml:space="preserve">de disponer de EURR en su </w:t>
      </w:r>
      <w:proofErr w:type="spellStart"/>
      <w:r w:rsidR="005F3C57">
        <w:rPr>
          <w:rFonts w:ascii="Verdana" w:eastAsia="Verdana" w:hAnsi="Verdana" w:cs="Verdana"/>
          <w:sz w:val="20"/>
          <w:szCs w:val="20"/>
        </w:rPr>
        <w:t>wallet</w:t>
      </w:r>
      <w:proofErr w:type="spellEnd"/>
      <w:r w:rsidR="005F3C57">
        <w:rPr>
          <w:rFonts w:ascii="Verdana" w:eastAsia="Verdana" w:hAnsi="Verdana" w:cs="Verdana"/>
          <w:sz w:val="20"/>
          <w:szCs w:val="20"/>
        </w:rPr>
        <w:t xml:space="preserve"> custodio de Bit2Me. </w:t>
      </w:r>
      <w:r w:rsidR="002B0364">
        <w:rPr>
          <w:rFonts w:ascii="Verdana" w:eastAsia="Verdana" w:hAnsi="Verdana" w:cs="Verdana"/>
          <w:sz w:val="20"/>
          <w:szCs w:val="20"/>
        </w:rPr>
        <w:t>En caso de no disponer de</w:t>
      </w:r>
      <w:r w:rsidR="00B97A00">
        <w:rPr>
          <w:rFonts w:ascii="Verdana" w:eastAsia="Verdana" w:hAnsi="Verdana" w:cs="Verdana"/>
          <w:sz w:val="20"/>
          <w:szCs w:val="20"/>
        </w:rPr>
        <w:t xml:space="preserve"> EURR podrá sol</w:t>
      </w:r>
      <w:r w:rsidR="00E40AC0">
        <w:rPr>
          <w:rFonts w:ascii="Verdana" w:eastAsia="Verdana" w:hAnsi="Verdana" w:cs="Verdana"/>
          <w:sz w:val="20"/>
          <w:szCs w:val="20"/>
        </w:rPr>
        <w:t xml:space="preserve">icitar desde la </w:t>
      </w:r>
      <w:r w:rsidR="0087733F">
        <w:rPr>
          <w:rFonts w:ascii="Verdana" w:eastAsia="Verdana" w:hAnsi="Verdana" w:cs="Verdana"/>
          <w:color w:val="000000" w:themeColor="text1"/>
          <w:sz w:val="20"/>
          <w:szCs w:val="20"/>
        </w:rPr>
        <w:t xml:space="preserve">plataforma </w:t>
      </w:r>
      <w:proofErr w:type="spellStart"/>
      <w:r w:rsidR="0087733F">
        <w:rPr>
          <w:rFonts w:ascii="Verdana" w:eastAsia="Verdana" w:hAnsi="Verdana" w:cs="Verdana"/>
          <w:color w:val="000000" w:themeColor="text1"/>
          <w:sz w:val="20"/>
          <w:szCs w:val="20"/>
        </w:rPr>
        <w:t>Valorix</w:t>
      </w:r>
      <w:proofErr w:type="spellEnd"/>
      <w:r w:rsidR="0087733F" w:rsidDel="0087733F">
        <w:rPr>
          <w:rFonts w:ascii="Verdana" w:eastAsia="Verdana" w:hAnsi="Verdana" w:cs="Verdana"/>
          <w:sz w:val="20"/>
          <w:szCs w:val="20"/>
        </w:rPr>
        <w:t xml:space="preserve"> </w:t>
      </w:r>
      <w:r>
        <w:rPr>
          <w:rFonts w:ascii="Verdana" w:eastAsia="Verdana" w:hAnsi="Verdana" w:cs="Verdana"/>
          <w:sz w:val="20"/>
          <w:szCs w:val="20"/>
        </w:rPr>
        <w:t>convertir su saldo en euros a EURR</w:t>
      </w:r>
      <w:r w:rsidR="00E40AC0">
        <w:rPr>
          <w:rFonts w:ascii="Verdana" w:eastAsia="Verdana" w:hAnsi="Verdana" w:cs="Verdana"/>
          <w:sz w:val="20"/>
          <w:szCs w:val="20"/>
        </w:rPr>
        <w:t xml:space="preserve"> en la plataforma de Bit2Me</w:t>
      </w:r>
      <w:r w:rsidR="001F5598">
        <w:rPr>
          <w:rFonts w:ascii="Verdana" w:eastAsia="Verdana" w:hAnsi="Verdana" w:cs="Verdana"/>
          <w:sz w:val="20"/>
          <w:szCs w:val="20"/>
        </w:rPr>
        <w:t>. El EURR es una</w:t>
      </w:r>
      <w:r w:rsidR="00471924" w:rsidRPr="00BB5033">
        <w:rPr>
          <w:rFonts w:ascii="Verdana" w:eastAsia="Verdana" w:hAnsi="Verdana" w:cs="Verdana"/>
          <w:sz w:val="20"/>
          <w:szCs w:val="20"/>
        </w:rPr>
        <w:t xml:space="preserve"> moneda estable utilizada como medio exclusivo de inversi</w:t>
      </w:r>
      <w:r w:rsidR="00471924" w:rsidRPr="00BB5033">
        <w:rPr>
          <w:rFonts w:ascii="Verdana" w:eastAsia="Verdana" w:hAnsi="Verdana" w:cs="Verdana" w:hint="eastAsia"/>
          <w:sz w:val="20"/>
          <w:szCs w:val="20"/>
        </w:rPr>
        <w:t>ó</w:t>
      </w:r>
      <w:r w:rsidR="00471924" w:rsidRPr="00BB5033">
        <w:rPr>
          <w:rFonts w:ascii="Verdana" w:eastAsia="Verdana" w:hAnsi="Verdana" w:cs="Verdana"/>
          <w:sz w:val="20"/>
          <w:szCs w:val="20"/>
        </w:rPr>
        <w:t>n en la plataforma.</w:t>
      </w:r>
      <w:r w:rsidR="00DE48BB">
        <w:rPr>
          <w:rFonts w:ascii="Verdana" w:eastAsia="Verdana" w:hAnsi="Verdana" w:cs="Verdana"/>
          <w:sz w:val="20"/>
          <w:szCs w:val="20"/>
        </w:rPr>
        <w:t xml:space="preserve"> </w:t>
      </w:r>
    </w:p>
    <w:p w14:paraId="2C9F54B6" w14:textId="3E36E706" w:rsidR="00DE48BB" w:rsidRDefault="00DE48BB" w:rsidP="00DE48BB">
      <w:pPr>
        <w:spacing w:before="240" w:after="240" w:line="360" w:lineRule="auto"/>
        <w:jc w:val="both"/>
        <w:rPr>
          <w:rFonts w:ascii="Verdana" w:hAnsi="Verdana"/>
          <w:color w:val="000000"/>
          <w:sz w:val="20"/>
          <w:szCs w:val="20"/>
        </w:rPr>
      </w:pPr>
      <w:r w:rsidRPr="008E313B">
        <w:rPr>
          <w:rFonts w:ascii="Verdana" w:hAnsi="Verdana"/>
          <w:color w:val="000000"/>
          <w:sz w:val="20"/>
          <w:szCs w:val="20"/>
        </w:rPr>
        <w:lastRenderedPageBreak/>
        <w:t xml:space="preserve">Esta conversión podrá realizarse a través de cualquiera de las siguientes opciones habilitadas: </w:t>
      </w:r>
    </w:p>
    <w:p w14:paraId="6A9883F1" w14:textId="77777777" w:rsidR="0035740F" w:rsidRPr="0035740F" w:rsidRDefault="0035740F" w:rsidP="0035740F">
      <w:pPr>
        <w:pStyle w:val="Prrafodelista"/>
        <w:numPr>
          <w:ilvl w:val="0"/>
          <w:numId w:val="7"/>
        </w:numPr>
        <w:spacing w:before="240" w:after="240" w:line="360" w:lineRule="auto"/>
        <w:jc w:val="both"/>
        <w:rPr>
          <w:rFonts w:ascii="Verdana" w:eastAsia="Verdana" w:hAnsi="Verdana" w:cs="Verdana"/>
          <w:sz w:val="20"/>
          <w:szCs w:val="20"/>
        </w:rPr>
      </w:pPr>
      <w:r w:rsidRPr="0035740F">
        <w:rPr>
          <w:rFonts w:ascii="Verdana" w:eastAsia="Verdana" w:hAnsi="Verdana" w:cs="Verdana"/>
          <w:sz w:val="20"/>
          <w:szCs w:val="20"/>
        </w:rPr>
        <w:t>mediante la compra de EURR a partir del saldo en euros disponible en la cuenta del usuario en Bit2Me;</w:t>
      </w:r>
    </w:p>
    <w:p w14:paraId="780AB2F4" w14:textId="77777777" w:rsidR="0035740F" w:rsidRPr="0035740F" w:rsidRDefault="0035740F" w:rsidP="0035740F">
      <w:pPr>
        <w:pStyle w:val="Prrafodelista"/>
        <w:numPr>
          <w:ilvl w:val="0"/>
          <w:numId w:val="7"/>
        </w:numPr>
        <w:spacing w:before="240" w:after="240" w:line="360" w:lineRule="auto"/>
        <w:jc w:val="both"/>
        <w:rPr>
          <w:rFonts w:ascii="Verdana" w:eastAsia="Verdana" w:hAnsi="Verdana" w:cs="Verdana"/>
          <w:sz w:val="20"/>
          <w:szCs w:val="20"/>
        </w:rPr>
      </w:pPr>
      <w:r w:rsidRPr="0035740F">
        <w:rPr>
          <w:rFonts w:ascii="Verdana" w:eastAsia="Verdana" w:hAnsi="Verdana" w:cs="Verdana"/>
          <w:sz w:val="20"/>
          <w:szCs w:val="20"/>
        </w:rPr>
        <w:t>mediante la compra de EURR a partir del saldo en euros disponible en la cuenta del usuario en Bit2Me Pro;</w:t>
      </w:r>
    </w:p>
    <w:p w14:paraId="60453137" w14:textId="27AC8C34" w:rsidR="0035740F" w:rsidRPr="0035740F" w:rsidRDefault="0035740F" w:rsidP="0035740F">
      <w:pPr>
        <w:pStyle w:val="Prrafodelista"/>
        <w:numPr>
          <w:ilvl w:val="0"/>
          <w:numId w:val="7"/>
        </w:numPr>
        <w:spacing w:before="240" w:after="240" w:line="360" w:lineRule="auto"/>
        <w:jc w:val="both"/>
        <w:rPr>
          <w:rFonts w:ascii="Verdana" w:eastAsia="Verdana" w:hAnsi="Verdana" w:cs="Verdana"/>
          <w:sz w:val="20"/>
          <w:szCs w:val="20"/>
        </w:rPr>
      </w:pPr>
      <w:r w:rsidRPr="0035740F">
        <w:rPr>
          <w:rFonts w:ascii="Verdana" w:eastAsia="Verdana" w:hAnsi="Verdana" w:cs="Verdana"/>
          <w:sz w:val="20"/>
          <w:szCs w:val="20"/>
        </w:rPr>
        <w:t>mediante la transferencia de EURR desde la cuenta del usuario en Bit2Me Pro a la cuenta del usuario en Bit2M</w:t>
      </w:r>
      <w:r>
        <w:rPr>
          <w:rFonts w:ascii="Verdana" w:eastAsia="Verdana" w:hAnsi="Verdana" w:cs="Verdana"/>
          <w:sz w:val="20"/>
          <w:szCs w:val="20"/>
        </w:rPr>
        <w:t>e.</w:t>
      </w:r>
    </w:p>
    <w:p w14:paraId="21A12C5A" w14:textId="1755495F" w:rsidR="00471924" w:rsidRPr="0035740F" w:rsidRDefault="0035740F" w:rsidP="00BB5033">
      <w:pPr>
        <w:spacing w:before="240" w:after="240" w:line="360" w:lineRule="auto"/>
        <w:jc w:val="both"/>
        <w:rPr>
          <w:rFonts w:ascii="Verdana" w:eastAsia="Verdana" w:hAnsi="Verdana" w:cs="Verdana"/>
          <w:sz w:val="20"/>
          <w:szCs w:val="20"/>
        </w:rPr>
      </w:pPr>
      <w:r w:rsidRPr="0035740F">
        <w:rPr>
          <w:rFonts w:ascii="Verdana" w:hAnsi="Verdana"/>
          <w:color w:val="000000"/>
          <w:sz w:val="20"/>
          <w:szCs w:val="20"/>
        </w:rPr>
        <w:t xml:space="preserve">En todos los casos en que el usuario no disponga de EURR suficiente en su cuenta Bit2Me vinculada a </w:t>
      </w:r>
      <w:r w:rsidRPr="0035740F">
        <w:rPr>
          <w:rFonts w:ascii="Verdana" w:hAnsi="Verdana"/>
          <w:b/>
          <w:bCs/>
          <w:color w:val="000000"/>
          <w:sz w:val="20"/>
          <w:szCs w:val="20"/>
        </w:rPr>
        <w:t>VALORIX</w:t>
      </w:r>
      <w:r w:rsidRPr="0035740F">
        <w:rPr>
          <w:rFonts w:ascii="Verdana" w:hAnsi="Verdana"/>
          <w:color w:val="000000"/>
          <w:sz w:val="20"/>
          <w:szCs w:val="20"/>
        </w:rPr>
        <w:t>, deberá gestionar directamente la conversión o transferencia desde su saldo en euros o desde otras cuentas compatibles</w:t>
      </w:r>
      <w:r w:rsidR="00E73CA4" w:rsidRPr="0035740F">
        <w:rPr>
          <w:rFonts w:ascii="Verdana" w:hAnsi="Verdana"/>
          <w:color w:val="000000"/>
          <w:sz w:val="20"/>
          <w:szCs w:val="20"/>
        </w:rPr>
        <w:t>.</w:t>
      </w:r>
      <w:r w:rsidR="00A96002" w:rsidRPr="0035740F">
        <w:rPr>
          <w:rFonts w:ascii="Verdana" w:eastAsia="Verdana" w:hAnsi="Verdana" w:cs="Verdana"/>
          <w:sz w:val="20"/>
          <w:szCs w:val="20"/>
        </w:rPr>
        <w:t xml:space="preserve"> </w:t>
      </w:r>
      <w:r w:rsidRPr="0035740F">
        <w:rPr>
          <w:rFonts w:ascii="Verdana" w:hAnsi="Verdana"/>
          <w:color w:val="000000"/>
          <w:sz w:val="20"/>
          <w:szCs w:val="20"/>
        </w:rPr>
        <w:t>La conversión será efectuada por Bit2Me previa solicitud del usuario</w:t>
      </w:r>
      <w:r w:rsidR="00D1268D" w:rsidRPr="0035740F">
        <w:rPr>
          <w:rFonts w:ascii="Verdana" w:eastAsia="Verdana" w:hAnsi="Verdana" w:cs="Verdana"/>
          <w:sz w:val="20"/>
          <w:szCs w:val="20"/>
        </w:rPr>
        <w:t xml:space="preserve"> conforme a las condiciones vigentes en cada momento, en los términos descritos en el apartado 9 de las presentes CGC</w:t>
      </w:r>
      <w:r w:rsidR="00471924" w:rsidRPr="0035740F">
        <w:rPr>
          <w:rFonts w:ascii="Verdana" w:eastAsia="Verdana" w:hAnsi="Verdana" w:cs="Verdana"/>
          <w:sz w:val="20"/>
          <w:szCs w:val="20"/>
        </w:rPr>
        <w:t>.</w:t>
      </w:r>
    </w:p>
    <w:p w14:paraId="151F47B6" w14:textId="17E6A00A" w:rsidR="00471924" w:rsidRPr="00A96002" w:rsidRDefault="00471924" w:rsidP="00A96002">
      <w:pPr>
        <w:spacing w:before="240" w:after="240" w:line="360" w:lineRule="auto"/>
        <w:jc w:val="both"/>
        <w:rPr>
          <w:rFonts w:ascii="Verdana" w:eastAsia="Verdana" w:hAnsi="Verdana" w:cs="Verdana"/>
          <w:sz w:val="20"/>
          <w:szCs w:val="20"/>
        </w:rPr>
      </w:pPr>
      <w:r w:rsidRPr="00A96002">
        <w:rPr>
          <w:rFonts w:ascii="Verdana" w:eastAsia="Verdana" w:hAnsi="Verdana" w:cs="Verdana"/>
          <w:sz w:val="20"/>
          <w:szCs w:val="20"/>
        </w:rPr>
        <w:t>El importe neto en EURR resultante será el que se aplicará a efectos de suscripción del bono.</w:t>
      </w:r>
      <w:r w:rsidR="00A96002" w:rsidRPr="00A96002">
        <w:rPr>
          <w:rFonts w:ascii="Verdana" w:hAnsi="Verdana"/>
          <w:sz w:val="20"/>
          <w:szCs w:val="20"/>
        </w:rPr>
        <w:t xml:space="preserve"> </w:t>
      </w:r>
      <w:r w:rsidRPr="00A96002">
        <w:rPr>
          <w:rFonts w:ascii="Verdana" w:hAnsi="Verdana"/>
          <w:sz w:val="20"/>
          <w:szCs w:val="20"/>
        </w:rPr>
        <w:t xml:space="preserve">En caso de que el importe convertido en EURR no alcance el importe mínimo de inversión exigido por la emisión, la operación </w:t>
      </w:r>
      <w:r w:rsidR="00DE4010" w:rsidRPr="00A96002">
        <w:rPr>
          <w:rFonts w:ascii="Verdana" w:hAnsi="Verdana"/>
          <w:sz w:val="20"/>
          <w:szCs w:val="20"/>
        </w:rPr>
        <w:t xml:space="preserve">no podrá realizarse debiendo </w:t>
      </w:r>
      <w:r w:rsidR="00AB7FC9" w:rsidRPr="00A96002">
        <w:rPr>
          <w:rFonts w:ascii="Verdana" w:hAnsi="Verdana"/>
          <w:sz w:val="20"/>
          <w:szCs w:val="20"/>
        </w:rPr>
        <w:t xml:space="preserve">añadir más fondos de EURR a su </w:t>
      </w:r>
      <w:proofErr w:type="spellStart"/>
      <w:r w:rsidR="00AB7FC9" w:rsidRPr="00A96002">
        <w:rPr>
          <w:rFonts w:ascii="Verdana" w:hAnsi="Verdana"/>
          <w:sz w:val="20"/>
          <w:szCs w:val="20"/>
        </w:rPr>
        <w:t>wallet</w:t>
      </w:r>
      <w:proofErr w:type="spellEnd"/>
      <w:r w:rsidR="00AB7FC9" w:rsidRPr="00A96002">
        <w:rPr>
          <w:rFonts w:ascii="Verdana" w:hAnsi="Verdana"/>
          <w:sz w:val="20"/>
          <w:szCs w:val="20"/>
        </w:rPr>
        <w:t xml:space="preserve"> custodio de Bit2Me</w:t>
      </w:r>
      <w:r w:rsidRPr="00A96002">
        <w:rPr>
          <w:rFonts w:ascii="Verdana" w:hAnsi="Verdana"/>
          <w:sz w:val="20"/>
          <w:szCs w:val="20"/>
        </w:rPr>
        <w:t>.</w:t>
      </w:r>
    </w:p>
    <w:p w14:paraId="3C861D98" w14:textId="363DB497" w:rsidR="00B74692" w:rsidRPr="001B7362" w:rsidRDefault="00B74692" w:rsidP="00BB5033">
      <w:pPr>
        <w:spacing w:before="240" w:after="240" w:line="360" w:lineRule="auto"/>
        <w:jc w:val="both"/>
        <w:rPr>
          <w:rFonts w:ascii="Verdana" w:eastAsia="Verdana" w:hAnsi="Verdana" w:cs="Verdana"/>
          <w:sz w:val="20"/>
          <w:szCs w:val="20"/>
        </w:rPr>
      </w:pPr>
      <w:r w:rsidRPr="001B7362">
        <w:rPr>
          <w:rFonts w:ascii="Verdana" w:eastAsia="Verdana" w:hAnsi="Verdana" w:cs="Verdana"/>
          <w:sz w:val="20"/>
          <w:szCs w:val="20"/>
        </w:rPr>
        <w:t>La transferencia de fondos no implica el inicio del devengo de rendimientos asociados al bono. Dicho devengo únicamente se produce a partir de la fecha de cierre de la emisión, momento a partir del cual comienzan a computarse los intereses pactados contractualmente. Hasta dicha fecha, los fondos transferidos permanecerán sin generación de rendimiento alguno. No obstante, el cómputo y liquidación de intereses se efectuará por el período comprendido entre la fecha de cierre de la emisión y la fecha de vencimiento del bono.</w:t>
      </w:r>
    </w:p>
    <w:p w14:paraId="534EA525" w14:textId="37DF6604" w:rsidR="001D5A12" w:rsidRDefault="005A74EB" w:rsidP="005A74EB">
      <w:pPr>
        <w:spacing w:before="240" w:after="240" w:line="360" w:lineRule="auto"/>
        <w:jc w:val="both"/>
        <w:rPr>
          <w:rFonts w:ascii="Verdana" w:eastAsia="Verdana" w:hAnsi="Verdana" w:cs="Verdana"/>
          <w:sz w:val="20"/>
          <w:szCs w:val="20"/>
        </w:rPr>
      </w:pPr>
      <w:r w:rsidRPr="005A74EB">
        <w:rPr>
          <w:rFonts w:ascii="Verdana" w:eastAsia="Verdana" w:hAnsi="Verdana" w:cs="Verdana"/>
          <w:sz w:val="20"/>
          <w:szCs w:val="20"/>
        </w:rPr>
        <w:t xml:space="preserve">Una vez formalizada la inversión por parte del usuario, se procede a la operación de </w:t>
      </w:r>
      <w:proofErr w:type="spellStart"/>
      <w:r w:rsidRPr="005A74EB">
        <w:rPr>
          <w:rFonts w:ascii="Verdana" w:eastAsia="Verdana" w:hAnsi="Verdana" w:cs="Verdana"/>
          <w:sz w:val="20"/>
          <w:szCs w:val="20"/>
        </w:rPr>
        <w:t>minteo</w:t>
      </w:r>
      <w:proofErr w:type="spellEnd"/>
      <w:r w:rsidRPr="005A74EB">
        <w:rPr>
          <w:rFonts w:ascii="Verdana" w:eastAsia="Verdana" w:hAnsi="Verdana" w:cs="Verdana"/>
          <w:sz w:val="20"/>
          <w:szCs w:val="20"/>
        </w:rPr>
        <w:t xml:space="preserve"> (emisión) o asignación del bono correspondiente en la Smart </w:t>
      </w:r>
      <w:proofErr w:type="spellStart"/>
      <w:r w:rsidRPr="005A74EB">
        <w:rPr>
          <w:rFonts w:ascii="Verdana" w:eastAsia="Verdana" w:hAnsi="Verdana" w:cs="Verdana"/>
          <w:sz w:val="20"/>
          <w:szCs w:val="20"/>
        </w:rPr>
        <w:t>Contract</w:t>
      </w:r>
      <w:proofErr w:type="spellEnd"/>
      <w:r w:rsidRPr="005A74EB">
        <w:rPr>
          <w:rFonts w:ascii="Verdana" w:eastAsia="Verdana" w:hAnsi="Verdana" w:cs="Verdana"/>
          <w:sz w:val="20"/>
          <w:szCs w:val="20"/>
        </w:rPr>
        <w:t xml:space="preserve"> </w:t>
      </w:r>
      <w:proofErr w:type="spellStart"/>
      <w:r w:rsidRPr="005A74EB">
        <w:rPr>
          <w:rFonts w:ascii="Verdana" w:eastAsia="Verdana" w:hAnsi="Verdana" w:cs="Verdana"/>
          <w:sz w:val="20"/>
          <w:szCs w:val="20"/>
        </w:rPr>
        <w:t>Account</w:t>
      </w:r>
      <w:proofErr w:type="spellEnd"/>
      <w:r w:rsidRPr="005A74EB">
        <w:rPr>
          <w:rFonts w:ascii="Verdana" w:eastAsia="Verdana" w:hAnsi="Verdana" w:cs="Verdana"/>
          <w:sz w:val="20"/>
          <w:szCs w:val="20"/>
        </w:rPr>
        <w:t xml:space="preserve"> (SCA) asociada al usuario. Esta operación queda registrada </w:t>
      </w:r>
      <w:proofErr w:type="spellStart"/>
      <w:r w:rsidRPr="005A74EB">
        <w:rPr>
          <w:rFonts w:ascii="Verdana" w:eastAsia="Verdana" w:hAnsi="Verdana" w:cs="Verdana"/>
          <w:sz w:val="20"/>
          <w:szCs w:val="20"/>
        </w:rPr>
        <w:t>on-chain</w:t>
      </w:r>
      <w:proofErr w:type="spellEnd"/>
      <w:r w:rsidRPr="005A74EB">
        <w:rPr>
          <w:rFonts w:ascii="Verdana" w:eastAsia="Verdana" w:hAnsi="Verdana" w:cs="Verdana"/>
          <w:sz w:val="20"/>
          <w:szCs w:val="20"/>
        </w:rPr>
        <w:t xml:space="preserve"> y requiere en todo caso la firma digital conjunta de </w:t>
      </w:r>
      <w:r w:rsidRPr="005A74EB">
        <w:rPr>
          <w:rFonts w:ascii="Verdana" w:eastAsia="Verdana" w:hAnsi="Verdana" w:cs="Verdana"/>
          <w:b/>
          <w:bCs/>
          <w:sz w:val="20"/>
          <w:szCs w:val="20"/>
        </w:rPr>
        <w:t>VALORIX</w:t>
      </w:r>
      <w:r w:rsidRPr="005A74EB">
        <w:rPr>
          <w:rFonts w:ascii="Verdana" w:eastAsia="Verdana" w:hAnsi="Verdana" w:cs="Verdana"/>
          <w:sz w:val="20"/>
          <w:szCs w:val="20"/>
        </w:rPr>
        <w:t xml:space="preserve"> y de la Entidad Responsable de Identidad y Registro (ERIR).</w:t>
      </w:r>
      <w:r>
        <w:rPr>
          <w:rFonts w:ascii="Verdana" w:eastAsia="Verdana" w:hAnsi="Verdana" w:cs="Verdana"/>
          <w:sz w:val="20"/>
          <w:szCs w:val="20"/>
        </w:rPr>
        <w:t xml:space="preserve"> </w:t>
      </w:r>
      <w:r w:rsidRPr="005A74EB">
        <w:rPr>
          <w:rFonts w:ascii="Verdana" w:eastAsia="Verdana" w:hAnsi="Verdana" w:cs="Verdana"/>
          <w:sz w:val="20"/>
          <w:szCs w:val="20"/>
        </w:rPr>
        <w:t xml:space="preserve">La ejecución del </w:t>
      </w:r>
      <w:proofErr w:type="spellStart"/>
      <w:r w:rsidRPr="005A74EB">
        <w:rPr>
          <w:rFonts w:ascii="Verdana" w:eastAsia="Verdana" w:hAnsi="Verdana" w:cs="Verdana"/>
          <w:sz w:val="20"/>
          <w:szCs w:val="20"/>
        </w:rPr>
        <w:t>minteo</w:t>
      </w:r>
      <w:proofErr w:type="spellEnd"/>
      <w:r w:rsidRPr="005A74EB">
        <w:rPr>
          <w:rFonts w:ascii="Verdana" w:eastAsia="Verdana" w:hAnsi="Verdana" w:cs="Verdana"/>
          <w:sz w:val="20"/>
          <w:szCs w:val="20"/>
        </w:rPr>
        <w:t xml:space="preserve"> no está vinculada necesariamente a la fecha de cierre de la emisión, pudiendo realizarse </w:t>
      </w:r>
      <w:r w:rsidRPr="005A74EB">
        <w:rPr>
          <w:rFonts w:ascii="Verdana" w:eastAsia="Verdana" w:hAnsi="Verdana" w:cs="Verdana"/>
          <w:sz w:val="20"/>
          <w:szCs w:val="20"/>
        </w:rPr>
        <w:lastRenderedPageBreak/>
        <w:t>antes o después de dicha fecha, en función de la autorización individual otorgada por la ERIR para cada caso concreto</w:t>
      </w:r>
      <w:r w:rsidR="00E924CE" w:rsidRPr="006F5F45">
        <w:rPr>
          <w:rFonts w:ascii="Verdana" w:eastAsia="Verdana" w:hAnsi="Verdana" w:cs="Verdana"/>
          <w:sz w:val="20"/>
          <w:szCs w:val="20"/>
        </w:rPr>
        <w:t>.</w:t>
      </w:r>
    </w:p>
    <w:p w14:paraId="73F4AC9C" w14:textId="77777777" w:rsidR="005A74EB" w:rsidRPr="005A74EB" w:rsidRDefault="005A74EB" w:rsidP="005A74EB">
      <w:pPr>
        <w:spacing w:before="240" w:after="240" w:line="360" w:lineRule="auto"/>
        <w:jc w:val="both"/>
        <w:rPr>
          <w:rFonts w:ascii="Verdana" w:eastAsia="Verdana" w:hAnsi="Verdana" w:cs="Verdana"/>
          <w:sz w:val="20"/>
          <w:szCs w:val="20"/>
        </w:rPr>
      </w:pPr>
      <w:r w:rsidRPr="005A74EB">
        <w:rPr>
          <w:rFonts w:ascii="Verdana" w:eastAsia="Verdana" w:hAnsi="Verdana" w:cs="Verdana"/>
          <w:sz w:val="20"/>
          <w:szCs w:val="20"/>
        </w:rPr>
        <w:t>La plataforma permite al usuario solicitar la retirada de los intereses netos generados por los bonos, así como del importe principal en el momento de la amortización. La retirada se efectuará siempre que se cumplan los requisitos operativos establecidos, en particular:</w:t>
      </w:r>
    </w:p>
    <w:p w14:paraId="0C8ED0F7" w14:textId="52DCB9EB" w:rsidR="005A74EB" w:rsidRPr="005A74EB" w:rsidRDefault="005A74EB" w:rsidP="005A74EB">
      <w:pPr>
        <w:pStyle w:val="Prrafodelista"/>
        <w:numPr>
          <w:ilvl w:val="0"/>
          <w:numId w:val="8"/>
        </w:numPr>
        <w:spacing w:before="240" w:after="240" w:line="360" w:lineRule="auto"/>
        <w:jc w:val="both"/>
        <w:rPr>
          <w:rFonts w:ascii="Verdana" w:eastAsia="Verdana" w:hAnsi="Verdana" w:cs="Verdana"/>
          <w:sz w:val="20"/>
          <w:szCs w:val="20"/>
        </w:rPr>
      </w:pPr>
      <w:r w:rsidRPr="005A74EB">
        <w:rPr>
          <w:rFonts w:ascii="Verdana" w:eastAsia="Verdana" w:hAnsi="Verdana" w:cs="Verdana"/>
          <w:sz w:val="20"/>
          <w:szCs w:val="20"/>
        </w:rPr>
        <w:t xml:space="preserve">que la </w:t>
      </w:r>
      <w:proofErr w:type="spellStart"/>
      <w:r w:rsidRPr="005A74EB">
        <w:rPr>
          <w:rFonts w:ascii="Verdana" w:eastAsia="Verdana" w:hAnsi="Verdana" w:cs="Verdana"/>
          <w:sz w:val="20"/>
          <w:szCs w:val="20"/>
        </w:rPr>
        <w:t>wallet</w:t>
      </w:r>
      <w:proofErr w:type="spellEnd"/>
      <w:r w:rsidRPr="005A74EB">
        <w:rPr>
          <w:rFonts w:ascii="Verdana" w:eastAsia="Verdana" w:hAnsi="Verdana" w:cs="Verdana"/>
          <w:sz w:val="20"/>
          <w:szCs w:val="20"/>
        </w:rPr>
        <w:t xml:space="preserve"> operativa de </w:t>
      </w:r>
      <w:r w:rsidRPr="005A74EB">
        <w:rPr>
          <w:rFonts w:ascii="Verdana" w:eastAsia="Verdana" w:hAnsi="Verdana" w:cs="Verdana"/>
          <w:b/>
          <w:bCs/>
          <w:sz w:val="20"/>
          <w:szCs w:val="20"/>
        </w:rPr>
        <w:t>VALORIX</w:t>
      </w:r>
      <w:r w:rsidRPr="005A74EB">
        <w:rPr>
          <w:rFonts w:ascii="Verdana" w:eastAsia="Verdana" w:hAnsi="Verdana" w:cs="Verdana"/>
          <w:sz w:val="20"/>
          <w:szCs w:val="20"/>
        </w:rPr>
        <w:t xml:space="preserve"> disponga de saldo suficiente en EURR, y</w:t>
      </w:r>
    </w:p>
    <w:p w14:paraId="5DF3439C" w14:textId="77493A0C" w:rsidR="005A74EB" w:rsidRPr="005A74EB" w:rsidRDefault="005A74EB" w:rsidP="005A74EB">
      <w:pPr>
        <w:pStyle w:val="Prrafodelista"/>
        <w:numPr>
          <w:ilvl w:val="0"/>
          <w:numId w:val="8"/>
        </w:numPr>
        <w:spacing w:before="240" w:after="240" w:line="360" w:lineRule="auto"/>
        <w:jc w:val="both"/>
        <w:rPr>
          <w:rFonts w:ascii="Verdana" w:eastAsia="Verdana" w:hAnsi="Verdana" w:cs="Verdana"/>
          <w:sz w:val="20"/>
          <w:szCs w:val="20"/>
        </w:rPr>
      </w:pPr>
      <w:r w:rsidRPr="005A74EB">
        <w:rPr>
          <w:rFonts w:ascii="Verdana" w:eastAsia="Verdana" w:hAnsi="Verdana" w:cs="Verdana"/>
          <w:sz w:val="20"/>
          <w:szCs w:val="20"/>
        </w:rPr>
        <w:t>que la Entidad Responsable de Identidad y Registro (ERIR) haya autorizado los pagos correspondientes.</w:t>
      </w:r>
    </w:p>
    <w:p w14:paraId="58759422" w14:textId="77777777" w:rsidR="005A74EB" w:rsidRPr="005A74EB" w:rsidRDefault="005A74EB" w:rsidP="005A74EB">
      <w:pPr>
        <w:spacing w:before="240" w:after="240" w:line="360" w:lineRule="auto"/>
        <w:jc w:val="both"/>
        <w:rPr>
          <w:rFonts w:ascii="Verdana" w:eastAsia="Verdana" w:hAnsi="Verdana" w:cs="Verdana"/>
          <w:sz w:val="20"/>
          <w:szCs w:val="20"/>
        </w:rPr>
      </w:pPr>
      <w:r w:rsidRPr="005A74EB">
        <w:rPr>
          <w:rFonts w:ascii="Verdana" w:eastAsia="Verdana" w:hAnsi="Verdana" w:cs="Verdana"/>
          <w:sz w:val="20"/>
          <w:szCs w:val="20"/>
        </w:rPr>
        <w:t>Una vez cumplidas dichas condiciones, se procederá a la transferencia off-</w:t>
      </w:r>
      <w:proofErr w:type="spellStart"/>
      <w:r w:rsidRPr="005A74EB">
        <w:rPr>
          <w:rFonts w:ascii="Verdana" w:eastAsia="Verdana" w:hAnsi="Verdana" w:cs="Verdana"/>
          <w:sz w:val="20"/>
          <w:szCs w:val="20"/>
        </w:rPr>
        <w:t>chain</w:t>
      </w:r>
      <w:proofErr w:type="spellEnd"/>
      <w:r w:rsidRPr="005A74EB">
        <w:rPr>
          <w:rFonts w:ascii="Verdana" w:eastAsia="Verdana" w:hAnsi="Verdana" w:cs="Verdana"/>
          <w:sz w:val="20"/>
          <w:szCs w:val="20"/>
        </w:rPr>
        <w:t xml:space="preserve"> del importe correspondiente desde la </w:t>
      </w:r>
      <w:proofErr w:type="spellStart"/>
      <w:r w:rsidRPr="005A74EB">
        <w:rPr>
          <w:rFonts w:ascii="Verdana" w:eastAsia="Verdana" w:hAnsi="Verdana" w:cs="Verdana"/>
          <w:sz w:val="20"/>
          <w:szCs w:val="20"/>
        </w:rPr>
        <w:t>wallet</w:t>
      </w:r>
      <w:proofErr w:type="spellEnd"/>
      <w:r w:rsidRPr="005A74EB">
        <w:rPr>
          <w:rFonts w:ascii="Verdana" w:eastAsia="Verdana" w:hAnsi="Verdana" w:cs="Verdana"/>
          <w:sz w:val="20"/>
          <w:szCs w:val="20"/>
        </w:rPr>
        <w:t xml:space="preserve"> de </w:t>
      </w:r>
      <w:r w:rsidRPr="005A74EB">
        <w:rPr>
          <w:rFonts w:ascii="Verdana" w:eastAsia="Verdana" w:hAnsi="Verdana" w:cs="Verdana"/>
          <w:b/>
          <w:bCs/>
          <w:sz w:val="20"/>
          <w:szCs w:val="20"/>
        </w:rPr>
        <w:t>VALORIX</w:t>
      </w:r>
      <w:r w:rsidRPr="005A74EB">
        <w:rPr>
          <w:rFonts w:ascii="Verdana" w:eastAsia="Verdana" w:hAnsi="Verdana" w:cs="Verdana"/>
          <w:sz w:val="20"/>
          <w:szCs w:val="20"/>
        </w:rPr>
        <w:t xml:space="preserve"> al </w:t>
      </w:r>
      <w:proofErr w:type="spellStart"/>
      <w:r w:rsidRPr="005A74EB">
        <w:rPr>
          <w:rFonts w:ascii="Verdana" w:eastAsia="Verdana" w:hAnsi="Verdana" w:cs="Verdana"/>
          <w:sz w:val="20"/>
          <w:szCs w:val="20"/>
        </w:rPr>
        <w:t>wallet</w:t>
      </w:r>
      <w:proofErr w:type="spellEnd"/>
      <w:r w:rsidRPr="005A74EB">
        <w:rPr>
          <w:rFonts w:ascii="Verdana" w:eastAsia="Verdana" w:hAnsi="Verdana" w:cs="Verdana"/>
          <w:sz w:val="20"/>
          <w:szCs w:val="20"/>
        </w:rPr>
        <w:t xml:space="preserve"> del usuario en Bit2Me.</w:t>
      </w:r>
    </w:p>
    <w:p w14:paraId="0000004B" w14:textId="544640DF" w:rsidR="006E1E13" w:rsidRDefault="005A74EB">
      <w:pPr>
        <w:spacing w:before="240" w:after="240" w:line="360" w:lineRule="auto"/>
        <w:jc w:val="both"/>
        <w:rPr>
          <w:rFonts w:ascii="Verdana" w:eastAsia="Verdana" w:hAnsi="Verdana" w:cs="Verdana"/>
          <w:sz w:val="20"/>
          <w:szCs w:val="20"/>
        </w:rPr>
      </w:pPr>
      <w:r w:rsidRPr="005A74EB">
        <w:rPr>
          <w:rFonts w:ascii="Verdana" w:eastAsia="Verdana" w:hAnsi="Verdana" w:cs="Verdana"/>
          <w:sz w:val="20"/>
          <w:szCs w:val="20"/>
        </w:rPr>
        <w:t xml:space="preserve">Estas operaciones quedarán reflejadas en el </w:t>
      </w:r>
      <w:proofErr w:type="spellStart"/>
      <w:r w:rsidRPr="005A74EB">
        <w:rPr>
          <w:rFonts w:ascii="Verdana" w:eastAsia="Verdana" w:hAnsi="Verdana" w:cs="Verdana"/>
          <w:sz w:val="20"/>
          <w:szCs w:val="20"/>
        </w:rPr>
        <w:t>smart</w:t>
      </w:r>
      <w:proofErr w:type="spellEnd"/>
      <w:r w:rsidRPr="005A74EB">
        <w:rPr>
          <w:rFonts w:ascii="Verdana" w:eastAsia="Verdana" w:hAnsi="Verdana" w:cs="Verdana"/>
          <w:sz w:val="20"/>
          <w:szCs w:val="20"/>
        </w:rPr>
        <w:t xml:space="preserve"> </w:t>
      </w:r>
      <w:proofErr w:type="spellStart"/>
      <w:r w:rsidRPr="005A74EB">
        <w:rPr>
          <w:rFonts w:ascii="Verdana" w:eastAsia="Verdana" w:hAnsi="Verdana" w:cs="Verdana"/>
          <w:sz w:val="20"/>
          <w:szCs w:val="20"/>
        </w:rPr>
        <w:t>contract</w:t>
      </w:r>
      <w:proofErr w:type="spellEnd"/>
      <w:r w:rsidRPr="005A74EB">
        <w:rPr>
          <w:rFonts w:ascii="Verdana" w:eastAsia="Verdana" w:hAnsi="Verdana" w:cs="Verdana"/>
          <w:sz w:val="20"/>
          <w:szCs w:val="20"/>
        </w:rPr>
        <w:t xml:space="preserve"> correspondiente, firmadas digitalmente por la ERIR, garantizando su trazabilidad y auditabilidad</w:t>
      </w:r>
      <w:r w:rsidR="00E924CE">
        <w:rPr>
          <w:rFonts w:ascii="Verdana" w:eastAsia="Verdana" w:hAnsi="Verdana" w:cs="Verdana"/>
          <w:sz w:val="20"/>
          <w:szCs w:val="20"/>
        </w:rPr>
        <w:t>.</w:t>
      </w:r>
    </w:p>
    <w:p w14:paraId="0000004C" w14:textId="1BF02430" w:rsidR="006E1E13" w:rsidRDefault="5F0DF6FE" w:rsidP="0A7E8932">
      <w:pPr>
        <w:pStyle w:val="Ttulo1"/>
        <w:numPr>
          <w:ilvl w:val="0"/>
          <w:numId w:val="2"/>
        </w:numPr>
        <w:spacing w:before="240" w:after="240" w:line="360" w:lineRule="auto"/>
        <w:rPr>
          <w:rFonts w:ascii="Verdana" w:eastAsia="Verdana" w:hAnsi="Verdana" w:cs="Verdana"/>
          <w:b/>
          <w:bCs/>
          <w:color w:val="000000"/>
          <w:sz w:val="20"/>
          <w:szCs w:val="20"/>
        </w:rPr>
      </w:pPr>
      <w:bookmarkStart w:id="6" w:name="_Toc202892085"/>
      <w:r w:rsidRPr="0A7E8932">
        <w:rPr>
          <w:rFonts w:ascii="Verdana" w:eastAsia="Verdana" w:hAnsi="Verdana" w:cs="Verdana"/>
          <w:b/>
          <w:bCs/>
          <w:color w:val="000000" w:themeColor="text1"/>
          <w:sz w:val="20"/>
          <w:szCs w:val="20"/>
        </w:rPr>
        <w:t>PAGO DE LOS INSTRUMENTOS FINANCIEROS E INTERESES</w:t>
      </w:r>
      <w:bookmarkEnd w:id="6"/>
    </w:p>
    <w:p w14:paraId="2BE8C77A" w14:textId="1D72E929" w:rsidR="00D738EB" w:rsidRPr="00A84066" w:rsidRDefault="00D738EB" w:rsidP="00080358">
      <w:pPr>
        <w:spacing w:before="240" w:after="240" w:line="360" w:lineRule="auto"/>
        <w:jc w:val="both"/>
        <w:rPr>
          <w:rFonts w:ascii="Verdana" w:eastAsia="Verdana" w:hAnsi="Verdana" w:cs="Verdana"/>
          <w:sz w:val="20"/>
          <w:szCs w:val="20"/>
        </w:rPr>
      </w:pPr>
      <w:r w:rsidRPr="00A84066">
        <w:rPr>
          <w:rFonts w:ascii="Verdana" w:eastAsia="Verdana" w:hAnsi="Verdana" w:cs="Verdana"/>
          <w:sz w:val="20"/>
          <w:szCs w:val="20"/>
        </w:rPr>
        <w:t>El pago de intereses periódicos y la amortización del principal, cuando así se establezca en el Documento de Emisión correspondiente, se efectuarán mediante transferencia off-</w:t>
      </w:r>
      <w:proofErr w:type="spellStart"/>
      <w:r w:rsidRPr="00A84066">
        <w:rPr>
          <w:rFonts w:ascii="Verdana" w:eastAsia="Verdana" w:hAnsi="Verdana" w:cs="Verdana"/>
          <w:sz w:val="20"/>
          <w:szCs w:val="20"/>
        </w:rPr>
        <w:t>chain</w:t>
      </w:r>
      <w:proofErr w:type="spellEnd"/>
      <w:r w:rsidRPr="00A84066">
        <w:rPr>
          <w:rFonts w:ascii="Verdana" w:eastAsia="Verdana" w:hAnsi="Verdana" w:cs="Verdana"/>
          <w:sz w:val="20"/>
          <w:szCs w:val="20"/>
        </w:rPr>
        <w:t xml:space="preserve"> desde la </w:t>
      </w:r>
      <w:r w:rsidR="0087733F">
        <w:rPr>
          <w:rFonts w:ascii="Verdana" w:eastAsia="Verdana" w:hAnsi="Verdana" w:cs="Verdana"/>
          <w:color w:val="000000" w:themeColor="text1"/>
          <w:sz w:val="20"/>
          <w:szCs w:val="20"/>
        </w:rPr>
        <w:t xml:space="preserve">plataforma </w:t>
      </w:r>
      <w:proofErr w:type="spellStart"/>
      <w:r w:rsidR="0087733F">
        <w:rPr>
          <w:rFonts w:ascii="Verdana" w:eastAsia="Verdana" w:hAnsi="Verdana" w:cs="Verdana"/>
          <w:color w:val="000000" w:themeColor="text1"/>
          <w:sz w:val="20"/>
          <w:szCs w:val="20"/>
        </w:rPr>
        <w:t>Valorix</w:t>
      </w:r>
      <w:proofErr w:type="spellEnd"/>
      <w:r w:rsidR="0087733F" w:rsidRPr="00A84066" w:rsidDel="0087733F">
        <w:rPr>
          <w:rFonts w:ascii="Verdana" w:eastAsia="Verdana" w:hAnsi="Verdana" w:cs="Verdana"/>
          <w:sz w:val="20"/>
          <w:szCs w:val="20"/>
        </w:rPr>
        <w:t xml:space="preserve"> </w:t>
      </w:r>
      <w:r w:rsidRPr="00A84066">
        <w:rPr>
          <w:rFonts w:ascii="Verdana" w:eastAsia="Verdana" w:hAnsi="Verdana" w:cs="Verdana"/>
          <w:sz w:val="20"/>
          <w:szCs w:val="20"/>
        </w:rPr>
        <w:t xml:space="preserve">al </w:t>
      </w:r>
      <w:proofErr w:type="spellStart"/>
      <w:r w:rsidRPr="00A84066">
        <w:rPr>
          <w:rFonts w:ascii="Verdana" w:eastAsia="Verdana" w:hAnsi="Verdana" w:cs="Verdana"/>
          <w:sz w:val="20"/>
          <w:szCs w:val="20"/>
        </w:rPr>
        <w:t>wallet</w:t>
      </w:r>
      <w:proofErr w:type="spellEnd"/>
      <w:r w:rsidRPr="00A84066">
        <w:rPr>
          <w:rFonts w:ascii="Verdana" w:eastAsia="Verdana" w:hAnsi="Verdana" w:cs="Verdana"/>
          <w:sz w:val="20"/>
          <w:szCs w:val="20"/>
        </w:rPr>
        <w:t xml:space="preserve"> del usuario en Bit2Me.</w:t>
      </w:r>
    </w:p>
    <w:p w14:paraId="40C3B990" w14:textId="77777777" w:rsidR="0028630E" w:rsidRPr="00166B1D" w:rsidRDefault="0028630E" w:rsidP="00166B1D">
      <w:pPr>
        <w:spacing w:before="240" w:after="240" w:line="360" w:lineRule="auto"/>
        <w:jc w:val="both"/>
        <w:rPr>
          <w:rFonts w:ascii="Verdana" w:eastAsia="Verdana" w:hAnsi="Verdana" w:cs="Verdana"/>
          <w:sz w:val="20"/>
          <w:szCs w:val="20"/>
        </w:rPr>
      </w:pPr>
      <w:r w:rsidRPr="00166B1D">
        <w:rPr>
          <w:rFonts w:ascii="Verdana" w:eastAsia="Verdana" w:hAnsi="Verdana" w:cs="Verdana"/>
          <w:sz w:val="20"/>
          <w:szCs w:val="20"/>
        </w:rPr>
        <w:t xml:space="preserve">La obligación de pago del capital y de los intereses corresponde exclusiva y directamente al Emisor del Bono, siendo VALORIX la entidad responsable de atender dichas obligaciones frente a los inversores. La plataforma </w:t>
      </w:r>
      <w:proofErr w:type="spellStart"/>
      <w:r w:rsidRPr="00166B1D">
        <w:rPr>
          <w:rFonts w:ascii="Verdana" w:eastAsia="Verdana" w:hAnsi="Verdana" w:cs="Verdana"/>
          <w:sz w:val="20"/>
          <w:szCs w:val="20"/>
        </w:rPr>
        <w:t>Valorix</w:t>
      </w:r>
      <w:proofErr w:type="spellEnd"/>
      <w:r w:rsidRPr="00166B1D">
        <w:rPr>
          <w:rFonts w:ascii="Verdana" w:eastAsia="Verdana" w:hAnsi="Verdana" w:cs="Verdana"/>
          <w:sz w:val="20"/>
          <w:szCs w:val="20"/>
        </w:rPr>
        <w:t xml:space="preserve"> actúa únicamente como infraestructura tecnológica de canalización y ejecución material de los pagos, sin asumir en ningún caso funciones de garante, fiador, avalista ni responsable solidario de las obligaciones económicas derivadas de la inversión.</w:t>
      </w:r>
    </w:p>
    <w:p w14:paraId="1C3968D1" w14:textId="3A020BCF" w:rsidR="00D738EB" w:rsidRPr="00645286" w:rsidRDefault="00D738EB" w:rsidP="00080358">
      <w:pPr>
        <w:spacing w:before="240" w:after="240" w:line="360" w:lineRule="auto"/>
        <w:jc w:val="both"/>
        <w:rPr>
          <w:rFonts w:ascii="Verdana" w:eastAsia="Verdana" w:hAnsi="Verdana" w:cs="Verdana"/>
          <w:sz w:val="20"/>
          <w:szCs w:val="20"/>
        </w:rPr>
      </w:pPr>
      <w:r w:rsidRPr="00A84066">
        <w:rPr>
          <w:rFonts w:ascii="Verdana" w:eastAsia="Verdana" w:hAnsi="Verdana" w:cs="Verdana"/>
          <w:sz w:val="20"/>
          <w:szCs w:val="20"/>
        </w:rPr>
        <w:t xml:space="preserve">Dado que las inversiones se formalizan en EURR, </w:t>
      </w:r>
      <w:r w:rsidR="00AE145C" w:rsidRPr="002C122F">
        <w:rPr>
          <w:rFonts w:ascii="Verdana" w:hAnsi="Verdana"/>
          <w:color w:val="000000"/>
          <w:sz w:val="20"/>
          <w:szCs w:val="20"/>
        </w:rPr>
        <w:t xml:space="preserve">tanto los intereses como el principal serán abonados en dicha moneda estable directamente en el </w:t>
      </w:r>
      <w:proofErr w:type="spellStart"/>
      <w:r w:rsidR="00AE145C" w:rsidRPr="002C122F">
        <w:rPr>
          <w:rFonts w:ascii="Verdana" w:hAnsi="Verdana"/>
          <w:color w:val="000000"/>
          <w:sz w:val="20"/>
          <w:szCs w:val="20"/>
        </w:rPr>
        <w:t>wallet</w:t>
      </w:r>
      <w:proofErr w:type="spellEnd"/>
      <w:r w:rsidR="00AE145C" w:rsidRPr="002C122F">
        <w:rPr>
          <w:rFonts w:ascii="Verdana" w:hAnsi="Verdana"/>
          <w:color w:val="000000"/>
          <w:sz w:val="20"/>
          <w:szCs w:val="20"/>
        </w:rPr>
        <w:t xml:space="preserve"> del usuario</w:t>
      </w:r>
      <w:r w:rsidR="0089149A">
        <w:rPr>
          <w:rFonts w:ascii="Verdana" w:eastAsia="Verdana" w:hAnsi="Verdana" w:cs="Verdana"/>
          <w:sz w:val="20"/>
          <w:szCs w:val="20"/>
        </w:rPr>
        <w:t xml:space="preserve">. </w:t>
      </w:r>
      <w:r w:rsidR="00D1268D" w:rsidRPr="00D1268D">
        <w:rPr>
          <w:rStyle w:val="Textoennegrita"/>
          <w:rFonts w:ascii="Verdana" w:hAnsi="Verdana"/>
          <w:b w:val="0"/>
          <w:bCs w:val="0"/>
          <w:color w:val="000000"/>
          <w:sz w:val="20"/>
          <w:szCs w:val="20"/>
        </w:rPr>
        <w:t>La conversión será gestionada por Bit2Me conforme a las condiciones vigentes en cada momento, en los términos descritos en el apartado 9 de las presentes CGC</w:t>
      </w:r>
      <w:r w:rsidRPr="00645286">
        <w:rPr>
          <w:rFonts w:ascii="Verdana" w:eastAsia="Verdana" w:hAnsi="Verdana" w:cs="Verdana"/>
          <w:sz w:val="20"/>
          <w:szCs w:val="20"/>
        </w:rPr>
        <w:t>.</w:t>
      </w:r>
    </w:p>
    <w:p w14:paraId="6176D711" w14:textId="77777777" w:rsidR="00D738EB" w:rsidRPr="00645286" w:rsidRDefault="00D738EB" w:rsidP="00080358">
      <w:pPr>
        <w:spacing w:before="240" w:after="240" w:line="360" w:lineRule="auto"/>
        <w:jc w:val="both"/>
        <w:rPr>
          <w:rFonts w:ascii="Verdana" w:eastAsia="Verdana" w:hAnsi="Verdana" w:cs="Verdana"/>
          <w:sz w:val="20"/>
          <w:szCs w:val="20"/>
        </w:rPr>
      </w:pPr>
      <w:r w:rsidRPr="00645286">
        <w:rPr>
          <w:rFonts w:ascii="Verdana" w:eastAsia="Verdana" w:hAnsi="Verdana" w:cs="Verdana"/>
          <w:sz w:val="20"/>
          <w:szCs w:val="20"/>
        </w:rPr>
        <w:t>Estas operaciones se realizarán en las fechas expresamente indicadas en el Documento de Emisión, con comprobante electrónico detallado accesible en la plataforma.</w:t>
      </w:r>
    </w:p>
    <w:p w14:paraId="0000004F" w14:textId="22CF457E" w:rsidR="006E1E13" w:rsidRDefault="00D738EB" w:rsidP="005A74EB">
      <w:pPr>
        <w:spacing w:before="240" w:after="240" w:line="360" w:lineRule="auto"/>
        <w:jc w:val="both"/>
      </w:pPr>
      <w:r w:rsidRPr="00645286">
        <w:rPr>
          <w:rFonts w:ascii="Verdana" w:eastAsia="Verdana" w:hAnsi="Verdana" w:cs="Verdana"/>
          <w:sz w:val="20"/>
          <w:szCs w:val="20"/>
        </w:rPr>
        <w:lastRenderedPageBreak/>
        <w:t xml:space="preserve">En caso de incidencias o retrasos imputables a terceros (entidades financieras u operativas), </w:t>
      </w:r>
      <w:r w:rsidRPr="002C122F">
        <w:rPr>
          <w:rFonts w:ascii="Verdana" w:eastAsia="Verdana" w:hAnsi="Verdana" w:cs="Verdana"/>
          <w:b/>
          <w:bCs/>
          <w:sz w:val="20"/>
          <w:szCs w:val="20"/>
        </w:rPr>
        <w:t>VALORIX</w:t>
      </w:r>
      <w:r w:rsidRPr="002C122F">
        <w:rPr>
          <w:rFonts w:ascii="Verdana" w:eastAsia="Verdana" w:hAnsi="Verdana" w:cs="Verdana"/>
          <w:sz w:val="20"/>
          <w:szCs w:val="20"/>
        </w:rPr>
        <w:t xml:space="preserve"> informará de forma inmediata al usuario y realizará las gestiones oportunas para la resolución.</w:t>
      </w:r>
    </w:p>
    <w:p w14:paraId="00000050"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7" w:name="_Toc202892086"/>
      <w:r>
        <w:rPr>
          <w:rFonts w:ascii="Verdana" w:eastAsia="Verdana" w:hAnsi="Verdana" w:cs="Verdana"/>
          <w:b/>
          <w:color w:val="000000"/>
          <w:sz w:val="20"/>
          <w:szCs w:val="20"/>
        </w:rPr>
        <w:t>FISCALIDAD, RETENCIONES Y EXONERACIÓN DE RESPONSABILIDAD</w:t>
      </w:r>
      <w:bookmarkEnd w:id="7"/>
    </w:p>
    <w:p w14:paraId="00000051" w14:textId="77777777" w:rsidR="006E1E13" w:rsidRDefault="00E924CE">
      <w:pPr>
        <w:spacing w:before="240" w:after="240" w:line="360" w:lineRule="auto"/>
        <w:jc w:val="both"/>
        <w:rPr>
          <w:rFonts w:ascii="Verdana" w:eastAsia="Verdana" w:hAnsi="Verdana" w:cs="Verdana"/>
          <w:sz w:val="20"/>
          <w:szCs w:val="20"/>
        </w:rPr>
      </w:pPr>
      <w:r w:rsidRPr="002C122F">
        <w:rPr>
          <w:rFonts w:ascii="Verdana" w:eastAsia="Verdana" w:hAnsi="Verdana" w:cs="Verdana"/>
          <w:b/>
          <w:bCs/>
          <w:sz w:val="20"/>
          <w:szCs w:val="20"/>
        </w:rPr>
        <w:t>VALORIX</w:t>
      </w:r>
      <w:r>
        <w:rPr>
          <w:rFonts w:ascii="Verdana" w:eastAsia="Verdana" w:hAnsi="Verdana" w:cs="Verdana"/>
          <w:sz w:val="20"/>
          <w:szCs w:val="20"/>
        </w:rPr>
        <w:t xml:space="preserve"> realizará las retenciones fiscales aplicables sobre los intereses generados por los bonos </w:t>
      </w:r>
      <w:proofErr w:type="spellStart"/>
      <w:r>
        <w:rPr>
          <w:rFonts w:ascii="Verdana" w:eastAsia="Verdana" w:hAnsi="Verdana" w:cs="Verdana"/>
          <w:sz w:val="20"/>
          <w:szCs w:val="20"/>
        </w:rPr>
        <w:t>tokenizados</w:t>
      </w:r>
      <w:proofErr w:type="spellEnd"/>
      <w:r>
        <w:rPr>
          <w:rFonts w:ascii="Verdana" w:eastAsia="Verdana" w:hAnsi="Verdana" w:cs="Verdana"/>
          <w:sz w:val="20"/>
          <w:szCs w:val="20"/>
        </w:rPr>
        <w:t>, de conformidad con la normativa fiscal española vigente en el momento del pago. A estos efectos:</w:t>
      </w:r>
    </w:p>
    <w:p w14:paraId="00000052" w14:textId="77777777" w:rsidR="006E1E13" w:rsidRDefault="00E924CE">
      <w:pPr>
        <w:numPr>
          <w:ilvl w:val="0"/>
          <w:numId w:val="4"/>
        </w:numPr>
        <w:pBdr>
          <w:top w:val="nil"/>
          <w:left w:val="nil"/>
          <w:bottom w:val="nil"/>
          <w:right w:val="nil"/>
          <w:between w:val="nil"/>
        </w:pBdr>
        <w:spacing w:before="24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Para los inversores residentes fiscales en España, se aplicará una retención del 19% sobre los rendimientos del capital mobiliario generados.</w:t>
      </w:r>
    </w:p>
    <w:p w14:paraId="00000053" w14:textId="77777777" w:rsidR="006E1E13" w:rsidRDefault="00E924CE">
      <w:pPr>
        <w:numPr>
          <w:ilvl w:val="0"/>
          <w:numId w:val="4"/>
        </w:numPr>
        <w:pBdr>
          <w:top w:val="nil"/>
          <w:left w:val="nil"/>
          <w:bottom w:val="nil"/>
          <w:right w:val="nil"/>
          <w:between w:val="nil"/>
        </w:pBdr>
        <w:spacing w:line="36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Para los inversores residentes fiscales en un Estado del Espacio Económico Europeo (EEE) o en jurisdicciones con los que España tenga suscrito un convenio para evitar la doble imposición (CDI), se aplicará igualmente una retención del 19%, salvo que el inversor proporcione a </w:t>
      </w:r>
      <w:r w:rsidRPr="002C122F">
        <w:rPr>
          <w:rFonts w:ascii="Verdana" w:eastAsia="Verdana" w:hAnsi="Verdana" w:cs="Verdana"/>
          <w:b/>
          <w:bCs/>
          <w:color w:val="000000"/>
          <w:sz w:val="20"/>
          <w:szCs w:val="20"/>
        </w:rPr>
        <w:t>VALORIX</w:t>
      </w:r>
      <w:r>
        <w:rPr>
          <w:rFonts w:ascii="Verdana" w:eastAsia="Verdana" w:hAnsi="Verdana" w:cs="Verdana"/>
          <w:color w:val="000000"/>
          <w:sz w:val="20"/>
          <w:szCs w:val="20"/>
        </w:rPr>
        <w:t>, con antelación suficiente a la fecha de pago, un certificado válido expedido por la autoridad fiscal competente de su país de residencia, que acredite su condición de residente fiscal y habilite la aplicación de una retención reducida o la exención de retención conforme al CDI aplicable.</w:t>
      </w:r>
    </w:p>
    <w:p w14:paraId="00000054" w14:textId="77777777" w:rsidR="006E1E13" w:rsidRDefault="00E924CE">
      <w:pPr>
        <w:numPr>
          <w:ilvl w:val="0"/>
          <w:numId w:val="4"/>
        </w:numPr>
        <w:pBdr>
          <w:top w:val="nil"/>
          <w:left w:val="nil"/>
          <w:bottom w:val="nil"/>
          <w:right w:val="nil"/>
          <w:between w:val="nil"/>
        </w:pBdr>
        <w:spacing w:after="24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Para los inversores residentes fiscales fuera del EEE o de jurisdicciones sin CDI con España, se aplicará una retención del 24% o el tipo vigente conforme a la normativa española aplicable a no residentes.</w:t>
      </w:r>
    </w:p>
    <w:p w14:paraId="00000055" w14:textId="77777777" w:rsidR="006E1E13" w:rsidRDefault="00E924CE">
      <w:pPr>
        <w:spacing w:before="240" w:after="240" w:line="360" w:lineRule="auto"/>
        <w:jc w:val="both"/>
        <w:rPr>
          <w:rFonts w:ascii="Verdana" w:eastAsia="Verdana" w:hAnsi="Verdana" w:cs="Verdana"/>
          <w:sz w:val="20"/>
          <w:szCs w:val="20"/>
        </w:rPr>
      </w:pPr>
      <w:r w:rsidRPr="002C122F">
        <w:rPr>
          <w:rFonts w:ascii="Verdana" w:eastAsia="Verdana" w:hAnsi="Verdana" w:cs="Verdana"/>
          <w:b/>
          <w:bCs/>
          <w:sz w:val="20"/>
          <w:szCs w:val="20"/>
        </w:rPr>
        <w:t>VALORIX</w:t>
      </w:r>
      <w:r>
        <w:rPr>
          <w:rFonts w:ascii="Verdana" w:eastAsia="Verdana" w:hAnsi="Verdana" w:cs="Verdana"/>
          <w:sz w:val="20"/>
          <w:szCs w:val="20"/>
        </w:rPr>
        <w:t xml:space="preserve"> no asumirá ninguna responsabilidad frente al inversor derivada de la aplicación del porcentaje de retención correspondiente, siendo el inversor responsable de proporcionar, con antelación suficiente, la documentación fiscal necesaria para acreditar su residencia fiscal y su derecho a una retención reducida o exención. En caso de no aportarse el certificado de residencia fiscal válido, </w:t>
      </w:r>
      <w:r w:rsidRPr="002C122F">
        <w:rPr>
          <w:rFonts w:ascii="Verdana" w:eastAsia="Verdana" w:hAnsi="Verdana" w:cs="Verdana"/>
          <w:b/>
          <w:bCs/>
          <w:sz w:val="20"/>
          <w:szCs w:val="20"/>
        </w:rPr>
        <w:t>VALORIX</w:t>
      </w:r>
      <w:r>
        <w:rPr>
          <w:rFonts w:ascii="Verdana" w:eastAsia="Verdana" w:hAnsi="Verdana" w:cs="Verdana"/>
          <w:sz w:val="20"/>
          <w:szCs w:val="20"/>
        </w:rPr>
        <w:t xml:space="preserve"> aplicará el tipo general de retención correspondiente según la normativa española, sin que esta actuación pueda ser objeto de reclamación o compensación posterior por parte del inversor.</w:t>
      </w:r>
    </w:p>
    <w:p w14:paraId="00000057" w14:textId="27B3F73C"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Asimismo, será responsabilidad exclusiva del inversor la inclusión y declaración de los rendimientos obtenidos en su país de residencia, así como el cumplimiento de las obligaciones fiscales que le correspondan en dicho país. </w:t>
      </w:r>
      <w:r w:rsidRPr="002C122F">
        <w:rPr>
          <w:rFonts w:ascii="Verdana" w:eastAsia="Verdana" w:hAnsi="Verdana" w:cs="Verdana"/>
          <w:b/>
          <w:bCs/>
          <w:sz w:val="20"/>
          <w:szCs w:val="20"/>
        </w:rPr>
        <w:t>VALORIX</w:t>
      </w:r>
      <w:r>
        <w:rPr>
          <w:rFonts w:ascii="Verdana" w:eastAsia="Verdana" w:hAnsi="Verdana" w:cs="Verdana"/>
          <w:sz w:val="20"/>
          <w:szCs w:val="20"/>
        </w:rPr>
        <w:t xml:space="preserve"> no asumirá </w:t>
      </w:r>
      <w:r>
        <w:rPr>
          <w:rFonts w:ascii="Verdana" w:eastAsia="Verdana" w:hAnsi="Verdana" w:cs="Verdana"/>
          <w:sz w:val="20"/>
          <w:szCs w:val="20"/>
        </w:rPr>
        <w:lastRenderedPageBreak/>
        <w:t>responsabilidad alguna por los incumplimientos, errores u omisiones en el cumplimiento de las obligaciones fiscales del inversor.</w:t>
      </w:r>
    </w:p>
    <w:p w14:paraId="00000058" w14:textId="77777777" w:rsidR="006E1E13" w:rsidRDefault="00E924CE">
      <w:pPr>
        <w:spacing w:before="240" w:after="240" w:line="360" w:lineRule="auto"/>
        <w:jc w:val="both"/>
        <w:rPr>
          <w:rFonts w:ascii="Verdana" w:eastAsia="Verdana" w:hAnsi="Verdana" w:cs="Verdana"/>
          <w:sz w:val="20"/>
          <w:szCs w:val="20"/>
        </w:rPr>
      </w:pPr>
      <w:r w:rsidRPr="002C122F">
        <w:rPr>
          <w:rFonts w:ascii="Verdana" w:eastAsia="Verdana" w:hAnsi="Verdana" w:cs="Verdana"/>
          <w:b/>
          <w:bCs/>
          <w:sz w:val="20"/>
          <w:szCs w:val="20"/>
        </w:rPr>
        <w:t>VALORIX</w:t>
      </w:r>
      <w:r>
        <w:rPr>
          <w:rFonts w:ascii="Verdana" w:eastAsia="Verdana" w:hAnsi="Verdana" w:cs="Verdana"/>
          <w:sz w:val="20"/>
          <w:szCs w:val="20"/>
        </w:rPr>
        <w:t xml:space="preserve"> pondrá a disposición del inversor, a través de la plataforma, un certificado fiscal acreditativo del importe bruto, la retención practicada y el importe neto percibido por cada período de pago, para facilitar el cumplimiento de sus obligaciones fiscales.</w:t>
      </w:r>
    </w:p>
    <w:p w14:paraId="6987B794" w14:textId="051BE8FC" w:rsidR="001E68C2" w:rsidRDefault="00624A64" w:rsidP="001E68C2">
      <w:pPr>
        <w:pStyle w:val="Ttulo1"/>
        <w:numPr>
          <w:ilvl w:val="0"/>
          <w:numId w:val="2"/>
        </w:numPr>
        <w:spacing w:before="240" w:after="240" w:line="360" w:lineRule="auto"/>
        <w:rPr>
          <w:rFonts w:eastAsia="Verdana"/>
        </w:rPr>
      </w:pPr>
      <w:bookmarkStart w:id="8" w:name="_Toc202892087"/>
      <w:r>
        <w:rPr>
          <w:rFonts w:ascii="Verdana" w:eastAsia="Verdana" w:hAnsi="Verdana" w:cs="Verdana"/>
          <w:b/>
          <w:color w:val="000000"/>
          <w:sz w:val="20"/>
          <w:szCs w:val="20"/>
        </w:rPr>
        <w:t>COMISIONES Y GASTOS</w:t>
      </w:r>
      <w:bookmarkEnd w:id="8"/>
    </w:p>
    <w:p w14:paraId="5817C7DC" w14:textId="70029ADE" w:rsidR="001E68C2" w:rsidRPr="0087733F" w:rsidRDefault="001E68C2" w:rsidP="001E68C2">
      <w:pPr>
        <w:pStyle w:val="NormalWeb"/>
        <w:spacing w:line="360" w:lineRule="auto"/>
        <w:jc w:val="both"/>
        <w:rPr>
          <w:rFonts w:ascii="Verdana" w:hAnsi="Verdana"/>
          <w:color w:val="000000"/>
          <w:sz w:val="20"/>
          <w:szCs w:val="20"/>
        </w:rPr>
      </w:pPr>
      <w:r w:rsidRPr="0087733F">
        <w:rPr>
          <w:rFonts w:ascii="Verdana" w:hAnsi="Verdana"/>
          <w:color w:val="000000"/>
          <w:sz w:val="20"/>
          <w:szCs w:val="20"/>
        </w:rPr>
        <w:t xml:space="preserve">La utilización de la </w:t>
      </w:r>
      <w:r w:rsidR="0087733F">
        <w:rPr>
          <w:rFonts w:ascii="Verdana" w:eastAsia="Verdana" w:hAnsi="Verdana" w:cs="Verdana"/>
          <w:color w:val="000000" w:themeColor="text1"/>
          <w:sz w:val="20"/>
          <w:szCs w:val="20"/>
        </w:rPr>
        <w:t xml:space="preserve">plataforma </w:t>
      </w:r>
      <w:proofErr w:type="spellStart"/>
      <w:r w:rsidR="0087733F">
        <w:rPr>
          <w:rFonts w:ascii="Verdana" w:eastAsia="Verdana" w:hAnsi="Verdana" w:cs="Verdana"/>
          <w:color w:val="000000" w:themeColor="text1"/>
          <w:sz w:val="20"/>
          <w:szCs w:val="20"/>
        </w:rPr>
        <w:t>Valorix</w:t>
      </w:r>
      <w:proofErr w:type="spellEnd"/>
      <w:r w:rsidR="0087733F" w:rsidRPr="0087733F">
        <w:rPr>
          <w:rFonts w:ascii="Verdana" w:hAnsi="Verdana"/>
          <w:color w:val="000000"/>
          <w:sz w:val="20"/>
          <w:szCs w:val="20"/>
        </w:rPr>
        <w:t xml:space="preserve"> </w:t>
      </w:r>
      <w:r w:rsidRPr="0087733F">
        <w:rPr>
          <w:rFonts w:ascii="Verdana" w:hAnsi="Verdana"/>
          <w:color w:val="000000"/>
          <w:sz w:val="20"/>
          <w:szCs w:val="20"/>
        </w:rPr>
        <w:t>no conlleva comisiones directas a cargo del usuario por la mera navegación o acceso. No obstante, determinados servicios esenciales, prestados por entidades colaboradoras, pueden implicar costes indirectos que serán asumidos por el usuario.</w:t>
      </w:r>
    </w:p>
    <w:p w14:paraId="235B26E1" w14:textId="3819F5D4" w:rsidR="001E68C2" w:rsidRPr="0087733F" w:rsidRDefault="1A1BF89F" w:rsidP="001E68C2">
      <w:pPr>
        <w:pStyle w:val="NormalWeb"/>
        <w:spacing w:line="360" w:lineRule="auto"/>
        <w:jc w:val="both"/>
        <w:rPr>
          <w:rFonts w:ascii="Verdana" w:hAnsi="Verdana"/>
          <w:color w:val="000000"/>
          <w:sz w:val="20"/>
          <w:szCs w:val="20"/>
        </w:rPr>
      </w:pPr>
      <w:r w:rsidRPr="0A7E8932">
        <w:rPr>
          <w:rFonts w:ascii="Verdana" w:hAnsi="Verdana"/>
          <w:color w:val="000000" w:themeColor="text1"/>
          <w:sz w:val="20"/>
          <w:szCs w:val="20"/>
        </w:rPr>
        <w:t xml:space="preserve">En particular, la conversión de euros a EURR (y viceversa), gestionada por el proveedor de servicios de criptoactivos Bit2Me, está sujeta a las comisiones, tipos de cambio y diferenciales (spread) aplicables por dicho proveedor en cada momento. A título meramente informativo, a fecha </w:t>
      </w:r>
      <w:r w:rsidR="000716B7">
        <w:rPr>
          <w:rFonts w:ascii="Verdana" w:hAnsi="Verdana"/>
          <w:color w:val="000000" w:themeColor="text1"/>
          <w:sz w:val="20"/>
          <w:szCs w:val="20"/>
        </w:rPr>
        <w:t>14 de enero de 202</w:t>
      </w:r>
      <w:r w:rsidR="00AD0D97">
        <w:rPr>
          <w:rFonts w:ascii="Verdana" w:hAnsi="Verdana"/>
          <w:color w:val="000000" w:themeColor="text1"/>
          <w:sz w:val="20"/>
          <w:szCs w:val="20"/>
        </w:rPr>
        <w:t>6</w:t>
      </w:r>
      <w:r w:rsidRPr="0A7E8932">
        <w:rPr>
          <w:rFonts w:ascii="Verdana" w:hAnsi="Verdana"/>
          <w:color w:val="000000" w:themeColor="text1"/>
          <w:sz w:val="20"/>
          <w:szCs w:val="20"/>
        </w:rPr>
        <w:t>, la comisión estándar aplicada por Bit2Me para estas operaciones es del 0,01% sobre el importe de la operación, más un spread sobre el tipo de cambio vigente.</w:t>
      </w:r>
    </w:p>
    <w:p w14:paraId="44395F7C" w14:textId="143AE1F1" w:rsidR="00624A64" w:rsidRPr="0087733F" w:rsidRDefault="001E68C2" w:rsidP="001E68C2">
      <w:pPr>
        <w:pStyle w:val="NormalWeb"/>
        <w:spacing w:line="360" w:lineRule="auto"/>
        <w:jc w:val="both"/>
        <w:rPr>
          <w:rFonts w:ascii="Verdana" w:hAnsi="Verdana"/>
          <w:sz w:val="22"/>
          <w:szCs w:val="22"/>
        </w:rPr>
      </w:pPr>
      <w:r w:rsidRPr="0087733F">
        <w:rPr>
          <w:rFonts w:ascii="Verdana" w:hAnsi="Verdana"/>
          <w:b/>
          <w:bCs/>
          <w:color w:val="000000"/>
          <w:sz w:val="20"/>
          <w:szCs w:val="20"/>
        </w:rPr>
        <w:t>VALORIX</w:t>
      </w:r>
      <w:r w:rsidRPr="0087733F">
        <w:rPr>
          <w:rFonts w:ascii="Verdana" w:hAnsi="Verdana"/>
          <w:color w:val="000000"/>
          <w:sz w:val="20"/>
          <w:szCs w:val="20"/>
        </w:rPr>
        <w:t xml:space="preserve"> no interviene en la fijación de estas condiciones, que son determinadas de forma autónoma por Bit2Me. El usuario podrá consultar las condiciones aplicables antes de confirmar cada operación de conversión</w:t>
      </w:r>
      <w:r w:rsidR="00624A64" w:rsidRPr="0087733F">
        <w:rPr>
          <w:rFonts w:ascii="Verdana" w:hAnsi="Verdana"/>
          <w:sz w:val="22"/>
          <w:szCs w:val="22"/>
        </w:rPr>
        <w:t>.</w:t>
      </w:r>
    </w:p>
    <w:p w14:paraId="0000005A" w14:textId="7AF3796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9" w:name="_Toc202892088"/>
      <w:r>
        <w:rPr>
          <w:rFonts w:ascii="Verdana" w:eastAsia="Verdana" w:hAnsi="Verdana" w:cs="Verdana"/>
          <w:b/>
          <w:color w:val="000000"/>
          <w:sz w:val="20"/>
          <w:szCs w:val="20"/>
        </w:rPr>
        <w:t>GOBERNANZA TÉCNICA Y RECUPERACIÓN DE ACCESO</w:t>
      </w:r>
      <w:bookmarkEnd w:id="9"/>
    </w:p>
    <w:p w14:paraId="0000005B"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El modelo operativo de </w:t>
      </w:r>
      <w:r w:rsidRPr="00F04235">
        <w:rPr>
          <w:rFonts w:ascii="Verdana" w:eastAsia="Verdana" w:hAnsi="Verdana" w:cs="Verdana"/>
          <w:b/>
          <w:bCs/>
          <w:sz w:val="20"/>
          <w:szCs w:val="20"/>
        </w:rPr>
        <w:t>VALORIX</w:t>
      </w:r>
      <w:r>
        <w:rPr>
          <w:rFonts w:ascii="Verdana" w:eastAsia="Verdana" w:hAnsi="Verdana" w:cs="Verdana"/>
          <w:sz w:val="20"/>
          <w:szCs w:val="20"/>
        </w:rPr>
        <w:t xml:space="preserve">, basado en contratos inteligentes desplegados sobre tecnología TRD (ERC20 en </w:t>
      </w:r>
      <w:proofErr w:type="spellStart"/>
      <w:r>
        <w:rPr>
          <w:rFonts w:ascii="Verdana" w:eastAsia="Verdana" w:hAnsi="Verdana" w:cs="Verdana"/>
          <w:sz w:val="20"/>
          <w:szCs w:val="20"/>
        </w:rPr>
        <w:t>Polygon</w:t>
      </w:r>
      <w:proofErr w:type="spellEnd"/>
      <w:r>
        <w:rPr>
          <w:rFonts w:ascii="Verdana" w:eastAsia="Verdana" w:hAnsi="Verdana" w:cs="Verdana"/>
          <w:sz w:val="20"/>
          <w:szCs w:val="20"/>
        </w:rPr>
        <w:t xml:space="preserve">) y en la asignación de Smart </w:t>
      </w:r>
      <w:proofErr w:type="spellStart"/>
      <w:r>
        <w:rPr>
          <w:rFonts w:ascii="Verdana" w:eastAsia="Verdana" w:hAnsi="Verdana" w:cs="Verdana"/>
          <w:sz w:val="20"/>
          <w:szCs w:val="20"/>
        </w:rPr>
        <w:t>Contract</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Accounts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SCAs</w:t>
      </w:r>
      <w:proofErr w:type="spellEnd"/>
      <w:r>
        <w:rPr>
          <w:rFonts w:ascii="Verdana" w:eastAsia="Verdana" w:hAnsi="Verdana" w:cs="Verdana"/>
          <w:sz w:val="20"/>
          <w:szCs w:val="20"/>
        </w:rPr>
        <w:t>) individuales, no contempla ni requiere la gestión directa de claves privadas por parte del usuario.</w:t>
      </w:r>
    </w:p>
    <w:p w14:paraId="0000005C"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El acceso técnico a los tokens se gestiona de forma automatizada, garantizando que sólo pueden ejecutarse operaciones previamente autorizadas por el usuario (emisión, amortización, transferencias) o aquellas obligadas por resolución judicial o requerimiento legal, con intervención de la Entidad Responsable de Identidad y Registro (ERIR).</w:t>
      </w:r>
    </w:p>
    <w:p w14:paraId="0000005D" w14:textId="77777777" w:rsidR="006E1E13" w:rsidRDefault="5F0DF6FE">
      <w:pPr>
        <w:spacing w:before="240" w:after="240" w:line="360" w:lineRule="auto"/>
        <w:jc w:val="both"/>
        <w:rPr>
          <w:rFonts w:ascii="Verdana" w:eastAsia="Verdana" w:hAnsi="Verdana" w:cs="Verdana"/>
          <w:sz w:val="20"/>
          <w:szCs w:val="20"/>
        </w:rPr>
      </w:pPr>
      <w:r w:rsidRPr="0A7E8932">
        <w:rPr>
          <w:rFonts w:ascii="Verdana" w:eastAsia="Verdana" w:hAnsi="Verdana" w:cs="Verdana"/>
          <w:sz w:val="20"/>
          <w:szCs w:val="20"/>
        </w:rPr>
        <w:lastRenderedPageBreak/>
        <w:t xml:space="preserve">En caso de incidencias técnicas que puedan impedir al usuario el acceso a la plataforma o la visualización de su SCA, </w:t>
      </w:r>
      <w:r w:rsidRPr="0A7E8932">
        <w:rPr>
          <w:rFonts w:ascii="Verdana" w:eastAsia="Verdana" w:hAnsi="Verdana" w:cs="Verdana"/>
          <w:b/>
          <w:bCs/>
          <w:sz w:val="20"/>
          <w:szCs w:val="20"/>
        </w:rPr>
        <w:t>VALORIX</w:t>
      </w:r>
      <w:r w:rsidRPr="0A7E8932">
        <w:rPr>
          <w:rFonts w:ascii="Verdana" w:eastAsia="Verdana" w:hAnsi="Verdana" w:cs="Verdana"/>
          <w:sz w:val="20"/>
          <w:szCs w:val="20"/>
        </w:rPr>
        <w:t xml:space="preserve"> habilitará un proceso documentado de recuperación de acceso mediante identificación reforzada y validación de la identidad del usuario. Dicho proceso será gestionado por </w:t>
      </w:r>
      <w:r w:rsidRPr="0A7E8932">
        <w:rPr>
          <w:rFonts w:ascii="Verdana" w:eastAsia="Verdana" w:hAnsi="Verdana" w:cs="Verdana"/>
          <w:b/>
          <w:bCs/>
          <w:sz w:val="20"/>
          <w:szCs w:val="20"/>
        </w:rPr>
        <w:t>VALORIX</w:t>
      </w:r>
      <w:r w:rsidRPr="0A7E8932">
        <w:rPr>
          <w:rFonts w:ascii="Verdana" w:eastAsia="Verdana" w:hAnsi="Verdana" w:cs="Verdana"/>
          <w:sz w:val="20"/>
          <w:szCs w:val="20"/>
        </w:rPr>
        <w:t xml:space="preserve"> en coordinación con la ERIR y con Bit2Me, garantizando la seguridad, integridad y trazabilidad de las operaciones.</w:t>
      </w:r>
    </w:p>
    <w:p w14:paraId="0000005E"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Este modelo no constituye un servicio de custodia financiera conforme a la LMVSI ni un servicio de custodia de </w:t>
      </w:r>
      <w:proofErr w:type="spellStart"/>
      <w:r>
        <w:rPr>
          <w:rFonts w:ascii="Verdana" w:eastAsia="Verdana" w:hAnsi="Verdana" w:cs="Verdana"/>
          <w:sz w:val="20"/>
          <w:szCs w:val="20"/>
        </w:rPr>
        <w:t>criptoactivos</w:t>
      </w:r>
      <w:proofErr w:type="spellEnd"/>
      <w:r>
        <w:rPr>
          <w:rFonts w:ascii="Verdana" w:eastAsia="Verdana" w:hAnsi="Verdana" w:cs="Verdana"/>
          <w:sz w:val="20"/>
          <w:szCs w:val="20"/>
        </w:rPr>
        <w:t xml:space="preserve"> según </w:t>
      </w:r>
      <w:proofErr w:type="spellStart"/>
      <w:r>
        <w:rPr>
          <w:rFonts w:ascii="Verdana" w:eastAsia="Verdana" w:hAnsi="Verdana" w:cs="Verdana"/>
          <w:sz w:val="20"/>
          <w:szCs w:val="20"/>
        </w:rPr>
        <w:t>MiCA</w:t>
      </w:r>
      <w:proofErr w:type="spellEnd"/>
      <w:r>
        <w:rPr>
          <w:rFonts w:ascii="Verdana" w:eastAsia="Verdana" w:hAnsi="Verdana" w:cs="Verdana"/>
          <w:sz w:val="20"/>
          <w:szCs w:val="20"/>
        </w:rPr>
        <w:t>, eliminando riesgos operativos y de seguridad asociados a la gestión individual de claves privadas.</w:t>
      </w:r>
    </w:p>
    <w:p w14:paraId="00000060"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10" w:name="_Toc202892089"/>
      <w:r>
        <w:rPr>
          <w:rFonts w:ascii="Verdana" w:eastAsia="Verdana" w:hAnsi="Verdana" w:cs="Verdana"/>
          <w:b/>
          <w:color w:val="000000"/>
          <w:sz w:val="20"/>
          <w:szCs w:val="20"/>
        </w:rPr>
        <w:t>CONDICIONES PARTICULARES DE CADA EMISIÓN</w:t>
      </w:r>
      <w:bookmarkEnd w:id="10"/>
    </w:p>
    <w:p w14:paraId="00000061" w14:textId="74DF694E"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Cada bono emitido a través de la </w:t>
      </w:r>
      <w:r w:rsidR="0087733F">
        <w:rPr>
          <w:rFonts w:ascii="Verdana" w:eastAsia="Verdana" w:hAnsi="Verdana" w:cs="Verdana"/>
          <w:color w:val="000000" w:themeColor="text1"/>
          <w:sz w:val="20"/>
          <w:szCs w:val="20"/>
        </w:rPr>
        <w:t xml:space="preserve">plataforma </w:t>
      </w:r>
      <w:proofErr w:type="spellStart"/>
      <w:r w:rsidR="0087733F">
        <w:rPr>
          <w:rFonts w:ascii="Verdana" w:eastAsia="Verdana" w:hAnsi="Verdana" w:cs="Verdana"/>
          <w:color w:val="000000" w:themeColor="text1"/>
          <w:sz w:val="20"/>
          <w:szCs w:val="20"/>
        </w:rPr>
        <w:t>Valorix</w:t>
      </w:r>
      <w:proofErr w:type="spellEnd"/>
      <w:r w:rsidR="0087733F" w:rsidDel="0087733F">
        <w:rPr>
          <w:rFonts w:ascii="Verdana" w:eastAsia="Verdana" w:hAnsi="Verdana" w:cs="Verdana"/>
          <w:sz w:val="20"/>
          <w:szCs w:val="20"/>
        </w:rPr>
        <w:t xml:space="preserve"> </w:t>
      </w:r>
      <w:r>
        <w:rPr>
          <w:rFonts w:ascii="Verdana" w:eastAsia="Verdana" w:hAnsi="Verdana" w:cs="Verdana"/>
          <w:sz w:val="20"/>
          <w:szCs w:val="20"/>
        </w:rPr>
        <w:t xml:space="preserve">estará acompañado de su correspondiente Documento de Emisión, que contendrá toda la información legal, financiera y técnica relevante. Para poder participar en una emisión concreta, el usuario deberá aceptar expresamente dicho documento a través de la plataforma. </w:t>
      </w:r>
    </w:p>
    <w:p w14:paraId="00000062" w14:textId="7F81477A" w:rsidR="006E1E13" w:rsidRDefault="5F0DF6FE">
      <w:pPr>
        <w:spacing w:before="240" w:after="240" w:line="360" w:lineRule="auto"/>
        <w:jc w:val="both"/>
        <w:rPr>
          <w:rFonts w:ascii="Verdana" w:eastAsia="Verdana" w:hAnsi="Verdana" w:cs="Verdana"/>
          <w:sz w:val="20"/>
          <w:szCs w:val="20"/>
        </w:rPr>
      </w:pPr>
      <w:r w:rsidRPr="0A7E8932">
        <w:rPr>
          <w:rFonts w:ascii="Verdana" w:eastAsia="Verdana" w:hAnsi="Verdana" w:cs="Verdana"/>
          <w:sz w:val="20"/>
          <w:szCs w:val="20"/>
        </w:rPr>
        <w:t>El contenido del Documento de Emisión incluirá, entre otros aspectos, el importe de la emisión, el tipo de interés aplicable, los plazos de vencimiento, los riesgos asociados a la inversión, las garantías ofrecidas, así como los costes y comisiones aplicables. Esta aceptación constituye un requisito indispensable para la formalización de la contratación del instrumento financiero.</w:t>
      </w:r>
      <w:r w:rsidR="0081270B">
        <w:rPr>
          <w:rFonts w:ascii="Verdana" w:eastAsia="Verdana" w:hAnsi="Verdana" w:cs="Verdana"/>
          <w:sz w:val="20"/>
          <w:szCs w:val="20"/>
        </w:rPr>
        <w:t xml:space="preserve"> </w:t>
      </w:r>
      <w:r w:rsidR="0081270B" w:rsidRPr="00166B1D">
        <w:rPr>
          <w:rFonts w:ascii="Verdana" w:eastAsia="Verdana" w:hAnsi="Verdana" w:cs="Verdana"/>
          <w:sz w:val="20"/>
          <w:szCs w:val="20"/>
        </w:rPr>
        <w:t>En caso de discrepancia, contradicción o diferencia de interpretación entre lo dispuesto en las presentes Condiciones Generales de Uso y el correspondiente Documento de Emisión, prevalecerá en todo caso lo establecido en este último como normativa contractual específica de cada inversión.</w:t>
      </w:r>
    </w:p>
    <w:p w14:paraId="00000063"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11" w:name="_Toc202892090"/>
      <w:r>
        <w:rPr>
          <w:rFonts w:ascii="Verdana" w:eastAsia="Verdana" w:hAnsi="Verdana" w:cs="Verdana"/>
          <w:b/>
          <w:color w:val="000000"/>
          <w:sz w:val="20"/>
          <w:szCs w:val="20"/>
        </w:rPr>
        <w:t>DERECHOS Y LIMITACIONES DE USO</w:t>
      </w:r>
      <w:bookmarkEnd w:id="11"/>
    </w:p>
    <w:p w14:paraId="00000064"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El acceso a funcionalidades esenciales de la plataforma, como la compra de bonos, la amortización o la visualización de saldos y operaciones, estará reservado exclusivamente a los usuarios que hayan completado satisfactoriamente el proceso de verificación de identidad. Asimismo, </w:t>
      </w:r>
      <w:r>
        <w:rPr>
          <w:rFonts w:ascii="Verdana" w:eastAsia="Verdana" w:hAnsi="Verdana" w:cs="Verdana"/>
          <w:b/>
          <w:sz w:val="20"/>
          <w:szCs w:val="20"/>
        </w:rPr>
        <w:t>VALORIX</w:t>
      </w:r>
      <w:r>
        <w:rPr>
          <w:rFonts w:ascii="Verdana" w:eastAsia="Verdana" w:hAnsi="Verdana" w:cs="Verdana"/>
          <w:sz w:val="20"/>
          <w:szCs w:val="20"/>
        </w:rPr>
        <w:t xml:space="preserve"> se reserva el derecho de congelar los tokens asociados a un usuario o de ejecutar transferencias forzosas entre cuentas en supuestos legalmente justificados, tales como fallecimiento, embargo o resolución judicial. Estas operaciones requerirán en todo caso la firma de la Entidad Responsable de Identidad y Registro (ERIR).</w:t>
      </w:r>
    </w:p>
    <w:p w14:paraId="00000065"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12" w:name="_Toc202892091"/>
      <w:r>
        <w:rPr>
          <w:rFonts w:ascii="Verdana" w:eastAsia="Verdana" w:hAnsi="Verdana" w:cs="Verdana"/>
          <w:b/>
          <w:color w:val="000000"/>
          <w:sz w:val="20"/>
          <w:szCs w:val="20"/>
        </w:rPr>
        <w:lastRenderedPageBreak/>
        <w:t>PROTECCIÓN DE DATOS</w:t>
      </w:r>
      <w:bookmarkEnd w:id="12"/>
    </w:p>
    <w:p w14:paraId="00000066" w14:textId="6239AFC2"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Bit2Me y </w:t>
      </w:r>
      <w:r w:rsidRPr="00F04235">
        <w:rPr>
          <w:rFonts w:ascii="Verdana" w:eastAsia="Verdana" w:hAnsi="Verdana" w:cs="Verdana"/>
          <w:b/>
          <w:bCs/>
          <w:sz w:val="20"/>
          <w:szCs w:val="20"/>
        </w:rPr>
        <w:t>VALORIX</w:t>
      </w:r>
      <w:r>
        <w:rPr>
          <w:rFonts w:ascii="Verdana" w:eastAsia="Verdana" w:hAnsi="Verdana" w:cs="Verdana"/>
          <w:sz w:val="20"/>
          <w:szCs w:val="20"/>
        </w:rPr>
        <w:t xml:space="preserve"> actúan como responsables del tratamiento de los datos personales de los usuarios de forma diferenciada, conforme a sus respectivas funciones en el funcionamiento de la plataforma. El tratamiento se realiza con base en la normativa europea y española aplicable en materia de protección de datos, incluyendo el Reglamento General de Protección de Datos (RGPD) y la Ley Orgánica de Protección de Datos Personales y garantía de los derechos digitales (LOPDGDD), así como en la normativa sobre prevención del blanqueo de capitales y financiación del terrorismo. En este sentido, y de conformidad con lo dispuesto en la Política de Privacidad de </w:t>
      </w:r>
      <w:r w:rsidRPr="00F04235">
        <w:rPr>
          <w:rFonts w:ascii="Verdana" w:eastAsia="Verdana" w:hAnsi="Verdana" w:cs="Verdana"/>
          <w:b/>
          <w:bCs/>
          <w:sz w:val="20"/>
          <w:szCs w:val="20"/>
        </w:rPr>
        <w:t>VALORIX</w:t>
      </w:r>
      <w:r>
        <w:rPr>
          <w:rFonts w:ascii="Verdana" w:eastAsia="Verdana" w:hAnsi="Verdana" w:cs="Verdana"/>
          <w:sz w:val="20"/>
          <w:szCs w:val="20"/>
        </w:rPr>
        <w:t xml:space="preserve">, se informa expresamente que el usuario, mediante la aceptación de estas </w:t>
      </w:r>
      <w:r w:rsidR="00F0167B">
        <w:rPr>
          <w:rFonts w:ascii="Verdana" w:eastAsia="Verdana" w:hAnsi="Verdana" w:cs="Verdana"/>
          <w:sz w:val="20"/>
          <w:szCs w:val="20"/>
        </w:rPr>
        <w:t>CGC</w:t>
      </w:r>
      <w:r>
        <w:rPr>
          <w:rFonts w:ascii="Verdana" w:eastAsia="Verdana" w:hAnsi="Verdana" w:cs="Verdana"/>
          <w:sz w:val="20"/>
          <w:szCs w:val="20"/>
        </w:rPr>
        <w:t xml:space="preserve">, autoriza a Bit2Me a ceder a </w:t>
      </w:r>
      <w:r w:rsidRPr="00F04235">
        <w:rPr>
          <w:rFonts w:ascii="Verdana" w:eastAsia="Verdana" w:hAnsi="Verdana" w:cs="Verdana"/>
          <w:b/>
          <w:bCs/>
          <w:sz w:val="20"/>
          <w:szCs w:val="20"/>
        </w:rPr>
        <w:t>VALORIX</w:t>
      </w:r>
      <w:r>
        <w:rPr>
          <w:rFonts w:ascii="Verdana" w:eastAsia="Verdana" w:hAnsi="Verdana" w:cs="Verdana"/>
          <w:sz w:val="20"/>
          <w:szCs w:val="20"/>
        </w:rPr>
        <w:t xml:space="preserve"> los datos personales facilitados durante el proceso de identificación y verificación (KYC), incluyendo datos identificativos y cualquier información necesaria para la formalización de la relación jurídica con </w:t>
      </w:r>
      <w:r w:rsidRPr="00F04235">
        <w:rPr>
          <w:rFonts w:ascii="Verdana" w:eastAsia="Verdana" w:hAnsi="Verdana" w:cs="Verdana"/>
          <w:b/>
          <w:bCs/>
          <w:sz w:val="20"/>
          <w:szCs w:val="20"/>
        </w:rPr>
        <w:t>VALORIX</w:t>
      </w:r>
      <w:r>
        <w:rPr>
          <w:rFonts w:ascii="Verdana" w:eastAsia="Verdana" w:hAnsi="Verdana" w:cs="Verdana"/>
          <w:sz w:val="20"/>
          <w:szCs w:val="20"/>
        </w:rPr>
        <w:t xml:space="preserve">. Esta cesión de datos tiene como finalidad permitir a </w:t>
      </w:r>
      <w:r w:rsidRPr="00F04235">
        <w:rPr>
          <w:rFonts w:ascii="Verdana" w:eastAsia="Verdana" w:hAnsi="Verdana" w:cs="Verdana"/>
          <w:b/>
          <w:bCs/>
          <w:sz w:val="20"/>
          <w:szCs w:val="20"/>
        </w:rPr>
        <w:t>VALORIX</w:t>
      </w:r>
      <w:r>
        <w:rPr>
          <w:rFonts w:ascii="Verdana" w:eastAsia="Verdana" w:hAnsi="Verdana" w:cs="Verdana"/>
          <w:sz w:val="20"/>
          <w:szCs w:val="20"/>
        </w:rPr>
        <w:t xml:space="preserve"> verificar y registrar la titularidad de los bonos adquiridos, garantizar la trazabilidad y transparencia del sistema y dar cumplimiento a obligaciones legales y contractuales, incluyendo en su caso, las derivadas de la normativa sobre prevención del blanqueo de capitales y financiación del terrorismo.</w:t>
      </w:r>
    </w:p>
    <w:p w14:paraId="00000067"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La base jurídica del tratamiento se encuentra en el cumplimiento de obligaciones legales, en la ejecución del contrato entre el usuario y </w:t>
      </w:r>
      <w:r>
        <w:rPr>
          <w:rFonts w:ascii="Verdana" w:eastAsia="Verdana" w:hAnsi="Verdana" w:cs="Verdana"/>
          <w:b/>
          <w:sz w:val="20"/>
          <w:szCs w:val="20"/>
        </w:rPr>
        <w:t>VALORIX</w:t>
      </w:r>
      <w:r>
        <w:rPr>
          <w:rFonts w:ascii="Verdana" w:eastAsia="Verdana" w:hAnsi="Verdana" w:cs="Verdana"/>
          <w:sz w:val="20"/>
          <w:szCs w:val="20"/>
        </w:rPr>
        <w:t>, y en el consentimiento informado prestado por el usuario en el momento del registro. Los datos facilitados también serán tratados para el mantenimiento y desarrollo de relaciones comerciales en base al interés legítimo de ambas partes</w:t>
      </w:r>
    </w:p>
    <w:p w14:paraId="00000068"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Para la ejecución del presente contrato, </w:t>
      </w:r>
      <w:r w:rsidRPr="00F04235">
        <w:rPr>
          <w:rFonts w:ascii="Verdana" w:eastAsia="Verdana" w:hAnsi="Verdana" w:cs="Verdana"/>
          <w:b/>
          <w:bCs/>
          <w:sz w:val="20"/>
          <w:szCs w:val="20"/>
        </w:rPr>
        <w:t>VALORIX</w:t>
      </w:r>
      <w:r>
        <w:rPr>
          <w:rFonts w:ascii="Verdana" w:eastAsia="Verdana" w:hAnsi="Verdana" w:cs="Verdana"/>
          <w:sz w:val="20"/>
          <w:szCs w:val="20"/>
        </w:rPr>
        <w:t xml:space="preserve"> cederá los datos personales del usuario a la Entidad Responsable de Identidad y Registro (ERIR), quién podrá acceder a estos datos únicamente con permisos de lectura, y exclusivamente para fines de validación y control de operaciones, con la finalidad de gestionar su participación en la inversión y cumplir con las obligaciones legales y contractuales aplicables. Dicha cesión es necesaria para la ejecución del presente contrato, así como para el cumplimiento de las obligaciones normativas que resulten aplicables. La ERIR, en su calidad de responsable del tratamiento, tratará los datos conforme a su propia Política de Privacidad y el documento de emisión aceptado por el usuario, las cuales se recomiendan consultar para obtener más información sobre el tratamiento de datos que se realizará por la ERIR.</w:t>
      </w:r>
    </w:p>
    <w:p w14:paraId="00000069"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lastRenderedPageBreak/>
        <w:t xml:space="preserve">Los datos se conservarán durante el tiempo que se mantenga la relación jurídica o hasta la que se solicite la supresión de los datos para el tratamiento comercial. Una vez finalizada la relación jurídica o solicitada la supresión del dato se mantendrán a disposición de la administración pública, jueces y tribunales durante el plazo previsto de prescripción de las acciones que resulten de aplicación al tratamiento de sus datos. </w:t>
      </w:r>
    </w:p>
    <w:p w14:paraId="0000006A" w14:textId="0E0B0335"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En relación con la supresión de los datos registrados en la Cadena de Bloques o Tecnología de Registro Distribuido (DLT) utilizada por </w:t>
      </w:r>
      <w:r w:rsidRPr="008A0EF7">
        <w:rPr>
          <w:rFonts w:ascii="Verdana" w:eastAsia="Verdana" w:hAnsi="Verdana" w:cs="Verdana"/>
          <w:b/>
          <w:bCs/>
          <w:sz w:val="20"/>
          <w:szCs w:val="20"/>
        </w:rPr>
        <w:t>VALORIX</w:t>
      </w:r>
      <w:r>
        <w:rPr>
          <w:rFonts w:ascii="Verdana" w:eastAsia="Verdana" w:hAnsi="Verdana" w:cs="Verdana"/>
          <w:sz w:val="20"/>
          <w:szCs w:val="20"/>
        </w:rPr>
        <w:t xml:space="preserve"> para la prestación de los servicios de suscripción de instrumentos financieros, el usuario conoce y acepta que sus datos quedarán registrados de forma </w:t>
      </w:r>
      <w:proofErr w:type="spellStart"/>
      <w:r>
        <w:rPr>
          <w:rFonts w:ascii="Verdana" w:eastAsia="Verdana" w:hAnsi="Verdana" w:cs="Verdana"/>
          <w:sz w:val="20"/>
          <w:szCs w:val="20"/>
        </w:rPr>
        <w:t>seudonimizada</w:t>
      </w:r>
      <w:proofErr w:type="spellEnd"/>
      <w:r>
        <w:rPr>
          <w:rFonts w:ascii="Verdana" w:eastAsia="Verdana" w:hAnsi="Verdana" w:cs="Verdana"/>
          <w:sz w:val="20"/>
          <w:szCs w:val="20"/>
        </w:rPr>
        <w:t xml:space="preserve"> en dicha Cadena de Bloques, sin que puedan ser atribuidos a una persona física identificada o identificable. Asimismo, el usuario reconoce y acepta que, debido a las características inherentes de esta tecnología, dichos datos </w:t>
      </w:r>
      <w:proofErr w:type="spellStart"/>
      <w:r>
        <w:rPr>
          <w:rFonts w:ascii="Verdana" w:eastAsia="Verdana" w:hAnsi="Verdana" w:cs="Verdana"/>
          <w:sz w:val="20"/>
          <w:szCs w:val="20"/>
        </w:rPr>
        <w:t>seudonimizados</w:t>
      </w:r>
      <w:proofErr w:type="spellEnd"/>
      <w:r>
        <w:rPr>
          <w:rFonts w:ascii="Verdana" w:eastAsia="Verdana" w:hAnsi="Verdana" w:cs="Verdana"/>
          <w:sz w:val="20"/>
          <w:szCs w:val="20"/>
        </w:rPr>
        <w:t xml:space="preserve"> no pueden ser eliminados de forma definitiva. Una vez finalizada la prestación del servicio o ejercitado el derecho de supresión por parte del usuario, </w:t>
      </w:r>
      <w:r w:rsidRPr="0046790A">
        <w:rPr>
          <w:rFonts w:ascii="Verdana" w:eastAsia="Verdana" w:hAnsi="Verdana" w:cs="Verdana"/>
          <w:b/>
          <w:bCs/>
          <w:sz w:val="20"/>
          <w:szCs w:val="20"/>
        </w:rPr>
        <w:t>VALORIX</w:t>
      </w:r>
      <w:r>
        <w:rPr>
          <w:rFonts w:ascii="Verdana" w:eastAsia="Verdana" w:hAnsi="Verdana" w:cs="Verdana"/>
          <w:sz w:val="20"/>
          <w:szCs w:val="20"/>
        </w:rPr>
        <w:t xml:space="preserve"> procederá a bloquear el tratamiento de los datos, manteniéndolos únicamente a disposición de las autoridades competentes, incluidos jueces y tribunales, durante los plazos legales de prescripción que correspondan. Transcurrido dicho plazo, </w:t>
      </w:r>
      <w:r w:rsidRPr="0046790A">
        <w:rPr>
          <w:rFonts w:ascii="Verdana" w:eastAsia="Verdana" w:hAnsi="Verdana" w:cs="Verdana"/>
          <w:b/>
          <w:bCs/>
          <w:sz w:val="20"/>
          <w:szCs w:val="20"/>
        </w:rPr>
        <w:t>VALORIX</w:t>
      </w:r>
      <w:r>
        <w:rPr>
          <w:rFonts w:ascii="Verdana" w:eastAsia="Verdana" w:hAnsi="Verdana" w:cs="Verdana"/>
          <w:sz w:val="20"/>
          <w:szCs w:val="20"/>
        </w:rPr>
        <w:t xml:space="preserve"> eliminará cualquier vínculo que permita asociar la identidad del usuario con el registro en la Blockchain, garantizando así el derecho a la supresión de los datos</w:t>
      </w:r>
      <w:r w:rsidR="00BB517A">
        <w:rPr>
          <w:rFonts w:ascii="Verdana" w:eastAsia="Verdana" w:hAnsi="Verdana" w:cs="Verdana"/>
          <w:sz w:val="20"/>
          <w:szCs w:val="20"/>
        </w:rPr>
        <w:t xml:space="preserve"> personales</w:t>
      </w:r>
      <w:r>
        <w:rPr>
          <w:rFonts w:ascii="Verdana" w:eastAsia="Verdana" w:hAnsi="Verdana" w:cs="Verdana"/>
          <w:sz w:val="20"/>
          <w:szCs w:val="20"/>
        </w:rPr>
        <w:t xml:space="preserve">. </w:t>
      </w:r>
      <w:r w:rsidRPr="0046790A">
        <w:rPr>
          <w:rFonts w:ascii="Verdana" w:eastAsia="Verdana" w:hAnsi="Verdana" w:cs="Verdana"/>
          <w:b/>
          <w:bCs/>
          <w:sz w:val="20"/>
          <w:szCs w:val="20"/>
        </w:rPr>
        <w:t>VALORIX</w:t>
      </w:r>
      <w:r>
        <w:rPr>
          <w:rFonts w:ascii="Verdana" w:eastAsia="Verdana" w:hAnsi="Verdana" w:cs="Verdana"/>
          <w:sz w:val="20"/>
          <w:szCs w:val="20"/>
        </w:rPr>
        <w:t xml:space="preserve"> no será responsable de las posibles revelaciones de identidad que puedan producirse por parte del propio usuario a terceros, en la medida en que dichas revelaciones permitan a estos últimos identificarlo</w:t>
      </w:r>
      <w:r w:rsidR="00A2380D">
        <w:rPr>
          <w:rFonts w:ascii="Verdana" w:eastAsia="Verdana" w:hAnsi="Verdana" w:cs="Verdana"/>
          <w:sz w:val="20"/>
          <w:szCs w:val="20"/>
        </w:rPr>
        <w:t>s</w:t>
      </w:r>
      <w:r>
        <w:rPr>
          <w:rFonts w:ascii="Verdana" w:eastAsia="Verdana" w:hAnsi="Verdana" w:cs="Verdana"/>
          <w:sz w:val="20"/>
          <w:szCs w:val="20"/>
        </w:rPr>
        <w:t xml:space="preserve"> dentro de la Cadena de Bloques utilizada por la plataforma. Actualmente, no existe en el estado de la técnica un sistema o procedimiento técnicamente viable que permita el borrado de datos en Tecnologías de Registro Distribuido. En este contexto, </w:t>
      </w:r>
      <w:r w:rsidRPr="0046790A">
        <w:rPr>
          <w:rFonts w:ascii="Verdana" w:eastAsia="Verdana" w:hAnsi="Verdana" w:cs="Verdana"/>
          <w:b/>
          <w:bCs/>
          <w:sz w:val="20"/>
          <w:szCs w:val="20"/>
        </w:rPr>
        <w:t>VALORIX</w:t>
      </w:r>
      <w:r>
        <w:rPr>
          <w:rFonts w:ascii="Verdana" w:eastAsia="Verdana" w:hAnsi="Verdana" w:cs="Verdana"/>
          <w:sz w:val="20"/>
          <w:szCs w:val="20"/>
        </w:rPr>
        <w:t xml:space="preserve"> manifiesta su compromiso de implementar, tan pronto como los avances tecnológicos o los requisitos regulatorios lo permitan, mecanismos que hagan posible el borrado efectivo de los datos </w:t>
      </w:r>
      <w:proofErr w:type="spellStart"/>
      <w:r>
        <w:rPr>
          <w:rFonts w:ascii="Verdana" w:eastAsia="Verdana" w:hAnsi="Verdana" w:cs="Verdana"/>
          <w:sz w:val="20"/>
          <w:szCs w:val="20"/>
        </w:rPr>
        <w:t>seudonimizados</w:t>
      </w:r>
      <w:proofErr w:type="spellEnd"/>
      <w:r>
        <w:rPr>
          <w:rFonts w:ascii="Verdana" w:eastAsia="Verdana" w:hAnsi="Verdana" w:cs="Verdana"/>
          <w:sz w:val="20"/>
          <w:szCs w:val="20"/>
        </w:rPr>
        <w:t xml:space="preserve"> de los usuarios.</w:t>
      </w:r>
    </w:p>
    <w:p w14:paraId="0000006B" w14:textId="1921929B"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Para cualquier asunto relacionado con el tratamiento de datos de personas físicas por parte de la </w:t>
      </w:r>
      <w:r w:rsidR="0087733F">
        <w:rPr>
          <w:rFonts w:ascii="Verdana" w:eastAsia="Verdana" w:hAnsi="Verdana" w:cs="Verdana"/>
          <w:color w:val="000000" w:themeColor="text1"/>
          <w:sz w:val="20"/>
          <w:szCs w:val="20"/>
        </w:rPr>
        <w:t xml:space="preserve">plataforma </w:t>
      </w:r>
      <w:proofErr w:type="spellStart"/>
      <w:r w:rsidR="0087733F">
        <w:rPr>
          <w:rFonts w:ascii="Verdana" w:eastAsia="Verdana" w:hAnsi="Verdana" w:cs="Verdana"/>
          <w:color w:val="000000" w:themeColor="text1"/>
          <w:sz w:val="20"/>
          <w:szCs w:val="20"/>
        </w:rPr>
        <w:t>Valorix</w:t>
      </w:r>
      <w:proofErr w:type="spellEnd"/>
      <w:r w:rsidR="0087733F" w:rsidDel="0087733F">
        <w:rPr>
          <w:rFonts w:ascii="Verdana" w:eastAsia="Verdana" w:hAnsi="Verdana" w:cs="Verdana"/>
          <w:sz w:val="20"/>
          <w:szCs w:val="20"/>
        </w:rPr>
        <w:t xml:space="preserve"> </w:t>
      </w:r>
      <w:r>
        <w:rPr>
          <w:rFonts w:ascii="Verdana" w:eastAsia="Verdana" w:hAnsi="Verdana" w:cs="Verdana"/>
          <w:sz w:val="20"/>
          <w:szCs w:val="20"/>
        </w:rPr>
        <w:t xml:space="preserve">podrá dirigirse al </w:t>
      </w:r>
      <w:proofErr w:type="gramStart"/>
      <w:r>
        <w:rPr>
          <w:rFonts w:ascii="Verdana" w:eastAsia="Verdana" w:hAnsi="Verdana" w:cs="Verdana"/>
          <w:sz w:val="20"/>
          <w:szCs w:val="20"/>
        </w:rPr>
        <w:t>Delegado</w:t>
      </w:r>
      <w:proofErr w:type="gramEnd"/>
      <w:r>
        <w:rPr>
          <w:rFonts w:ascii="Verdana" w:eastAsia="Verdana" w:hAnsi="Verdana" w:cs="Verdana"/>
          <w:sz w:val="20"/>
          <w:szCs w:val="20"/>
        </w:rPr>
        <w:t xml:space="preserve"> de Protección de Datos a través de la siguiente dirección de correo </w:t>
      </w:r>
      <w:hyperlink r:id="rId13">
        <w:r w:rsidR="006E1E13">
          <w:rPr>
            <w:rFonts w:ascii="Verdana" w:eastAsia="Verdana" w:hAnsi="Verdana" w:cs="Verdana"/>
            <w:color w:val="467886"/>
            <w:sz w:val="20"/>
            <w:szCs w:val="20"/>
            <w:u w:val="single"/>
          </w:rPr>
          <w:t>dpd@valorix.com</w:t>
        </w:r>
      </w:hyperlink>
      <w:r>
        <w:rPr>
          <w:rFonts w:ascii="Verdana" w:eastAsia="Verdana" w:hAnsi="Verdana" w:cs="Verdana"/>
          <w:sz w:val="20"/>
          <w:szCs w:val="20"/>
        </w:rPr>
        <w:t>.</w:t>
      </w:r>
    </w:p>
    <w:p w14:paraId="0000006C" w14:textId="57FF23D7" w:rsidR="006E1E13" w:rsidRDefault="00E924CE">
      <w:pPr>
        <w:spacing w:before="240" w:after="240" w:line="360" w:lineRule="auto"/>
        <w:jc w:val="both"/>
        <w:rPr>
          <w:rFonts w:ascii="Verdana" w:eastAsia="Verdana" w:hAnsi="Verdana" w:cs="Verdana"/>
          <w:sz w:val="20"/>
          <w:szCs w:val="20"/>
        </w:rPr>
      </w:pPr>
      <w:r w:rsidRPr="156E878F">
        <w:rPr>
          <w:rFonts w:ascii="Verdana" w:eastAsia="Verdana" w:hAnsi="Verdana" w:cs="Verdana"/>
          <w:sz w:val="20"/>
          <w:szCs w:val="20"/>
        </w:rPr>
        <w:t xml:space="preserve">Los usuarios tienen derecho a ejercer, en todo momento, sus derechos de acceso, rectificación, supresión, limitación del tratamiento, oposición y portabilidad, así como a revocar el consentimiento previamente otorgado a través del correo electrónico: </w:t>
      </w:r>
      <w:hyperlink r:id="rId14">
        <w:r w:rsidR="046F67EB" w:rsidRPr="156E878F">
          <w:rPr>
            <w:rStyle w:val="Hipervnculo"/>
            <w:rFonts w:ascii="Verdana" w:eastAsia="Verdana" w:hAnsi="Verdana" w:cs="Verdana"/>
            <w:sz w:val="20"/>
            <w:szCs w:val="20"/>
          </w:rPr>
          <w:t>rgpd@valorix.com</w:t>
        </w:r>
      </w:hyperlink>
      <w:r w:rsidRPr="156E878F">
        <w:rPr>
          <w:rFonts w:ascii="Verdana" w:eastAsia="Verdana" w:hAnsi="Verdana" w:cs="Verdana"/>
          <w:sz w:val="20"/>
          <w:szCs w:val="20"/>
        </w:rPr>
        <w:t>. Se recuerda al usuario que le asiste el derecho a reclamar ante la Agencia Española de Protección de Datos (</w:t>
      </w:r>
      <w:hyperlink r:id="rId15">
        <w:r w:rsidRPr="156E878F">
          <w:rPr>
            <w:rStyle w:val="Hipervnculo"/>
            <w:rFonts w:ascii="Verdana" w:eastAsia="Verdana" w:hAnsi="Verdana" w:cs="Verdana"/>
            <w:sz w:val="20"/>
            <w:szCs w:val="20"/>
          </w:rPr>
          <w:t>www.aepd.es</w:t>
        </w:r>
      </w:hyperlink>
      <w:r w:rsidRPr="156E878F">
        <w:rPr>
          <w:rFonts w:ascii="Verdana" w:eastAsia="Verdana" w:hAnsi="Verdana" w:cs="Verdana"/>
          <w:sz w:val="20"/>
          <w:szCs w:val="20"/>
        </w:rPr>
        <w:t>) y que puede oponerse al tratamiento de datos para finalidades comerciales.</w:t>
      </w:r>
    </w:p>
    <w:p w14:paraId="0000006F" w14:textId="258C56FB"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Puede obtener más información sobre el tratamiento de sus datos a </w:t>
      </w:r>
      <w:r w:rsidR="0046790A">
        <w:rPr>
          <w:rFonts w:ascii="Verdana" w:eastAsia="Verdana" w:hAnsi="Verdana" w:cs="Verdana"/>
          <w:sz w:val="20"/>
          <w:szCs w:val="20"/>
        </w:rPr>
        <w:t>través</w:t>
      </w:r>
      <w:r>
        <w:rPr>
          <w:rFonts w:ascii="Verdana" w:eastAsia="Verdana" w:hAnsi="Verdana" w:cs="Verdana"/>
          <w:sz w:val="20"/>
          <w:szCs w:val="20"/>
        </w:rPr>
        <w:t xml:space="preserve"> de la política de privacidad de </w:t>
      </w:r>
      <w:r w:rsidRPr="0046790A">
        <w:rPr>
          <w:rFonts w:ascii="Verdana" w:eastAsia="Verdana" w:hAnsi="Verdana" w:cs="Verdana"/>
          <w:b/>
          <w:bCs/>
          <w:sz w:val="20"/>
          <w:szCs w:val="20"/>
        </w:rPr>
        <w:t>VALORIX</w:t>
      </w:r>
      <w:r w:rsidR="00636F4D">
        <w:rPr>
          <w:rFonts w:ascii="Verdana" w:eastAsia="Verdana" w:hAnsi="Verdana" w:cs="Verdana"/>
          <w:sz w:val="20"/>
          <w:szCs w:val="20"/>
        </w:rPr>
        <w:t>.</w:t>
      </w:r>
    </w:p>
    <w:p w14:paraId="00000070" w14:textId="77777777" w:rsidR="006E1E13" w:rsidRDefault="00E924CE">
      <w:pPr>
        <w:pStyle w:val="Ttulo1"/>
        <w:numPr>
          <w:ilvl w:val="0"/>
          <w:numId w:val="2"/>
        </w:numPr>
        <w:spacing w:before="240" w:after="240" w:line="360" w:lineRule="auto"/>
        <w:jc w:val="both"/>
        <w:rPr>
          <w:rFonts w:ascii="Verdana" w:eastAsia="Verdana" w:hAnsi="Verdana" w:cs="Verdana"/>
          <w:b/>
          <w:color w:val="000000"/>
          <w:sz w:val="20"/>
          <w:szCs w:val="20"/>
        </w:rPr>
      </w:pPr>
      <w:bookmarkStart w:id="13" w:name="_Toc202892092"/>
      <w:r>
        <w:rPr>
          <w:rFonts w:ascii="Verdana" w:eastAsia="Verdana" w:hAnsi="Verdana" w:cs="Verdana"/>
          <w:b/>
          <w:color w:val="000000"/>
          <w:sz w:val="20"/>
          <w:szCs w:val="20"/>
        </w:rPr>
        <w:t>PREVENCIÓN DE BLANQUEO DE CAPITALES Y FINANCIACIÓN DEL TERRORISMO (PBC/FT)</w:t>
      </w:r>
      <w:bookmarkEnd w:id="13"/>
    </w:p>
    <w:p w14:paraId="00000071" w14:textId="42A983E9"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b/>
          <w:sz w:val="20"/>
          <w:szCs w:val="20"/>
        </w:rPr>
        <w:t>VALORIX</w:t>
      </w:r>
      <w:r>
        <w:rPr>
          <w:rFonts w:ascii="Verdana" w:eastAsia="Verdana" w:hAnsi="Verdana" w:cs="Verdana"/>
          <w:sz w:val="20"/>
          <w:szCs w:val="20"/>
        </w:rPr>
        <w:t xml:space="preserve"> actúa en cumplimiento de la normativa española y europea en materia de prevención del blanqueo de capitales y de la financiación del terrorismo, incluyendo la legislación nacional aplicable y la normativa delegada de la Unión Europea. El proceso de verificación de identidad (KYC) y diligencia debida sobre los usuarios es gestionado por Bit2Me, entidad registrada como proveedor de servicios de criptoactivos y </w:t>
      </w:r>
      <w:r w:rsidR="009D1F31">
        <w:rPr>
          <w:rFonts w:ascii="Verdana" w:eastAsia="Verdana" w:hAnsi="Verdana" w:cs="Verdana"/>
          <w:sz w:val="20"/>
          <w:szCs w:val="20"/>
        </w:rPr>
        <w:t>considerado sujeto obligado</w:t>
      </w:r>
      <w:r>
        <w:rPr>
          <w:rFonts w:ascii="Verdana" w:eastAsia="Verdana" w:hAnsi="Verdana" w:cs="Verdana"/>
          <w:sz w:val="20"/>
          <w:szCs w:val="20"/>
        </w:rPr>
        <w:t xml:space="preserve"> conforme a la normativa vigente.</w:t>
      </w:r>
    </w:p>
    <w:p w14:paraId="00000072"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Los datos recabados durante el proceso de </w:t>
      </w:r>
      <w:proofErr w:type="spellStart"/>
      <w:r>
        <w:rPr>
          <w:rFonts w:ascii="Verdana" w:eastAsia="Verdana" w:hAnsi="Verdana" w:cs="Verdana"/>
          <w:sz w:val="20"/>
          <w:szCs w:val="20"/>
        </w:rPr>
        <w:t>onboarding</w:t>
      </w:r>
      <w:proofErr w:type="spellEnd"/>
      <w:r>
        <w:rPr>
          <w:rFonts w:ascii="Verdana" w:eastAsia="Verdana" w:hAnsi="Verdana" w:cs="Verdana"/>
          <w:sz w:val="20"/>
          <w:szCs w:val="20"/>
        </w:rPr>
        <w:t xml:space="preserve"> pueden ser compartidos con </w:t>
      </w:r>
      <w:r>
        <w:rPr>
          <w:rFonts w:ascii="Verdana" w:eastAsia="Verdana" w:hAnsi="Verdana" w:cs="Verdana"/>
          <w:b/>
          <w:sz w:val="20"/>
          <w:szCs w:val="20"/>
        </w:rPr>
        <w:t>VALORIX</w:t>
      </w:r>
      <w:r>
        <w:rPr>
          <w:rFonts w:ascii="Verdana" w:eastAsia="Verdana" w:hAnsi="Verdana" w:cs="Verdana"/>
          <w:sz w:val="20"/>
          <w:szCs w:val="20"/>
        </w:rPr>
        <w:t xml:space="preserve"> cuando resulte necesario para el cumplimiento de obligaciones legales derivadas de la citada normativa. Dicha cesión de información se realizará únicamente previa solicitud documentada y conforme a los principios de necesidad, proporcionalidad y seguridad en el tratamiento de los datos.</w:t>
      </w:r>
    </w:p>
    <w:p w14:paraId="00000073"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14" w:name="_Toc202892093"/>
      <w:r>
        <w:rPr>
          <w:rFonts w:ascii="Verdana" w:eastAsia="Verdana" w:hAnsi="Verdana" w:cs="Verdana"/>
          <w:b/>
          <w:color w:val="000000"/>
          <w:sz w:val="20"/>
          <w:szCs w:val="20"/>
        </w:rPr>
        <w:t>MIGRACIÓN Y TRASPASO DE POSICIONES</w:t>
      </w:r>
      <w:bookmarkEnd w:id="14"/>
    </w:p>
    <w:p w14:paraId="00000074"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En caso de que </w:t>
      </w:r>
      <w:r w:rsidRPr="00D87EC1">
        <w:rPr>
          <w:rFonts w:ascii="Verdana" w:eastAsia="Verdana" w:hAnsi="Verdana" w:cs="Verdana"/>
          <w:b/>
          <w:bCs/>
          <w:sz w:val="20"/>
          <w:szCs w:val="20"/>
        </w:rPr>
        <w:t>VALORIX</w:t>
      </w:r>
      <w:r>
        <w:rPr>
          <w:rFonts w:ascii="Verdana" w:eastAsia="Verdana" w:hAnsi="Verdana" w:cs="Verdana"/>
          <w:sz w:val="20"/>
          <w:szCs w:val="20"/>
        </w:rPr>
        <w:t xml:space="preserve"> determine, por razones técnicas, regulatorias, estratégicas o de eficiencia operativa, la necesidad de migrar total o parcialmente los instrumentos financieros, posiciones o saldos de los inversores a otra infraestructura de mercado autorizada, incluyendo sistemas multilaterales de negociación, sistemas organizados de contratación o mercados regulados, nacionales o europeos, se organizará un proceso de transición garantizando los derechos del inversor.</w:t>
      </w:r>
    </w:p>
    <w:p w14:paraId="00000077" w14:textId="401EFA9E" w:rsidR="006E1E13" w:rsidRPr="00166B1D" w:rsidRDefault="00E924CE" w:rsidP="008A0EF7">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El traspaso se realizará con aprobación previa de las autoridades competentes si fueren necesarias, incluida la ERIR o CNMV, y garantizará la equivalencia funcional, seguridad jurídica, trazabilidad, y el respeto de los derechos económicos y jurídicos del inversor. </w:t>
      </w:r>
      <w:r w:rsidRPr="00D87EC1">
        <w:rPr>
          <w:rFonts w:ascii="Verdana" w:eastAsia="Verdana" w:hAnsi="Verdana" w:cs="Verdana"/>
          <w:b/>
          <w:bCs/>
          <w:sz w:val="20"/>
          <w:szCs w:val="20"/>
        </w:rPr>
        <w:t>VALORIX</w:t>
      </w:r>
      <w:r>
        <w:rPr>
          <w:rFonts w:ascii="Verdana" w:eastAsia="Verdana" w:hAnsi="Verdana" w:cs="Verdana"/>
          <w:sz w:val="20"/>
          <w:szCs w:val="20"/>
        </w:rPr>
        <w:t xml:space="preserve"> notificará a los usuarios con una antelación mínima de treinta (30) días naturales, salvo en casos de urgencia o fuerza mayor, para informar sobre el proceso y las condiciones de migración.</w:t>
      </w:r>
    </w:p>
    <w:p w14:paraId="00000078" w14:textId="670809C3" w:rsidR="006E1E13" w:rsidRDefault="78037503" w:rsidP="0A7E8932">
      <w:pPr>
        <w:pStyle w:val="Ttulo1"/>
        <w:numPr>
          <w:ilvl w:val="0"/>
          <w:numId w:val="2"/>
        </w:numPr>
        <w:spacing w:before="240" w:after="240" w:line="360" w:lineRule="auto"/>
        <w:jc w:val="both"/>
        <w:rPr>
          <w:rFonts w:ascii="Verdana" w:eastAsia="Verdana" w:hAnsi="Verdana" w:cs="Verdana"/>
          <w:b/>
          <w:bCs/>
          <w:color w:val="000000"/>
          <w:sz w:val="20"/>
          <w:szCs w:val="20"/>
        </w:rPr>
      </w:pPr>
      <w:bookmarkStart w:id="15" w:name="_Toc202892094"/>
      <w:r w:rsidRPr="0A7E8932">
        <w:rPr>
          <w:rFonts w:ascii="Verdana" w:eastAsia="Verdana" w:hAnsi="Verdana" w:cs="Verdana"/>
          <w:b/>
          <w:bCs/>
          <w:color w:val="000000" w:themeColor="text1"/>
          <w:sz w:val="20"/>
          <w:szCs w:val="20"/>
        </w:rPr>
        <w:lastRenderedPageBreak/>
        <w:t xml:space="preserve"> </w:t>
      </w:r>
      <w:r w:rsidR="5F0DF6FE" w:rsidRPr="0A7E8932">
        <w:rPr>
          <w:rFonts w:ascii="Verdana" w:eastAsia="Verdana" w:hAnsi="Verdana" w:cs="Verdana"/>
          <w:b/>
          <w:bCs/>
          <w:color w:val="000000" w:themeColor="text1"/>
          <w:sz w:val="20"/>
          <w:szCs w:val="20"/>
        </w:rPr>
        <w:t>MODIFICACIONES DE L</w:t>
      </w:r>
      <w:r w:rsidR="4D969091" w:rsidRPr="0A7E8932">
        <w:rPr>
          <w:rFonts w:ascii="Verdana" w:eastAsia="Verdana" w:hAnsi="Verdana" w:cs="Verdana"/>
          <w:b/>
          <w:bCs/>
          <w:color w:val="000000" w:themeColor="text1"/>
          <w:sz w:val="20"/>
          <w:szCs w:val="20"/>
        </w:rPr>
        <w:t xml:space="preserve">AS </w:t>
      </w:r>
      <w:r w:rsidR="5F0DF6FE" w:rsidRPr="0A7E8932">
        <w:rPr>
          <w:rFonts w:ascii="Verdana" w:eastAsia="Verdana" w:hAnsi="Verdana" w:cs="Verdana"/>
          <w:b/>
          <w:bCs/>
          <w:color w:val="000000" w:themeColor="text1"/>
          <w:sz w:val="20"/>
          <w:szCs w:val="20"/>
        </w:rPr>
        <w:t>CONDICIONES</w:t>
      </w:r>
      <w:r w:rsidR="4D969091" w:rsidRPr="0A7E8932">
        <w:rPr>
          <w:rFonts w:ascii="Verdana" w:eastAsia="Verdana" w:hAnsi="Verdana" w:cs="Verdana"/>
          <w:b/>
          <w:bCs/>
          <w:color w:val="000000" w:themeColor="text1"/>
          <w:sz w:val="20"/>
          <w:szCs w:val="20"/>
        </w:rPr>
        <w:t xml:space="preserve"> GENERALES DE </w:t>
      </w:r>
      <w:r w:rsidR="74073553" w:rsidRPr="0A7E8932">
        <w:rPr>
          <w:rFonts w:ascii="Verdana" w:eastAsia="Verdana" w:hAnsi="Verdana" w:cs="Verdana"/>
          <w:b/>
          <w:bCs/>
          <w:color w:val="000000" w:themeColor="text1"/>
          <w:sz w:val="20"/>
          <w:szCs w:val="20"/>
        </w:rPr>
        <w:t xml:space="preserve">LA </w:t>
      </w:r>
      <w:r w:rsidR="4D969091" w:rsidRPr="0A7E8932">
        <w:rPr>
          <w:rFonts w:ascii="Verdana" w:eastAsia="Verdana" w:hAnsi="Verdana" w:cs="Verdana"/>
          <w:b/>
          <w:bCs/>
          <w:color w:val="000000" w:themeColor="text1"/>
          <w:sz w:val="20"/>
          <w:szCs w:val="20"/>
        </w:rPr>
        <w:t>CONTRATACIÓN</w:t>
      </w:r>
      <w:bookmarkEnd w:id="15"/>
    </w:p>
    <w:p w14:paraId="00000079" w14:textId="77777777"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b/>
          <w:sz w:val="20"/>
          <w:szCs w:val="20"/>
        </w:rPr>
        <w:t>VALORIX</w:t>
      </w:r>
      <w:r>
        <w:rPr>
          <w:rFonts w:ascii="Verdana" w:eastAsia="Verdana" w:hAnsi="Verdana" w:cs="Verdana"/>
          <w:sz w:val="20"/>
          <w:szCs w:val="20"/>
        </w:rPr>
        <w:t xml:space="preserve"> podrá modificar estas CGC en cualquier momento. Estas modificaciones serán notificadas a los usuarios mediante la plataforma y por correo electrónico con una antelación mínima de 15 días naturales. La aceptación expresa de los cambios será necesaria para continuar con el uso de la plataforma.</w:t>
      </w:r>
    </w:p>
    <w:p w14:paraId="0000007A" w14:textId="77777777" w:rsidR="006E1E13" w:rsidRDefault="00E924CE">
      <w:pPr>
        <w:pStyle w:val="Ttulo1"/>
        <w:numPr>
          <w:ilvl w:val="0"/>
          <w:numId w:val="2"/>
        </w:numPr>
        <w:spacing w:before="240" w:after="240" w:line="360" w:lineRule="auto"/>
        <w:rPr>
          <w:rFonts w:ascii="Verdana" w:eastAsia="Verdana" w:hAnsi="Verdana" w:cs="Verdana"/>
          <w:b/>
          <w:sz w:val="20"/>
          <w:szCs w:val="20"/>
        </w:rPr>
      </w:pPr>
      <w:bookmarkStart w:id="16" w:name="_Toc202892095"/>
      <w:r>
        <w:rPr>
          <w:rFonts w:ascii="Verdana" w:eastAsia="Verdana" w:hAnsi="Verdana" w:cs="Verdana"/>
          <w:b/>
          <w:color w:val="000000"/>
          <w:sz w:val="20"/>
          <w:szCs w:val="20"/>
        </w:rPr>
        <w:t>LEGISLACIÓN APLICABLE Y JURISDICCIÓN</w:t>
      </w:r>
      <w:bookmarkEnd w:id="16"/>
    </w:p>
    <w:p w14:paraId="0000007B" w14:textId="6A0D2DFD" w:rsidR="006E1E13" w:rsidRDefault="00E924CE">
      <w:pPr>
        <w:spacing w:before="240" w:after="240" w:line="360" w:lineRule="auto"/>
        <w:jc w:val="both"/>
        <w:rPr>
          <w:rFonts w:ascii="Verdana" w:eastAsia="Verdana" w:hAnsi="Verdana" w:cs="Verdana"/>
          <w:sz w:val="20"/>
          <w:szCs w:val="20"/>
        </w:rPr>
      </w:pPr>
      <w:r>
        <w:rPr>
          <w:rFonts w:ascii="Verdana" w:eastAsia="Verdana" w:hAnsi="Verdana" w:cs="Verdana"/>
          <w:sz w:val="20"/>
          <w:szCs w:val="20"/>
        </w:rPr>
        <w:t xml:space="preserve">Estas </w:t>
      </w:r>
      <w:r w:rsidR="00A51E0F">
        <w:rPr>
          <w:rFonts w:ascii="Verdana" w:eastAsia="Verdana" w:hAnsi="Verdana" w:cs="Verdana"/>
          <w:sz w:val="20"/>
          <w:szCs w:val="20"/>
        </w:rPr>
        <w:t>CGC</w:t>
      </w:r>
      <w:r>
        <w:rPr>
          <w:rFonts w:ascii="Verdana" w:eastAsia="Verdana" w:hAnsi="Verdana" w:cs="Verdana"/>
          <w:sz w:val="20"/>
          <w:szCs w:val="20"/>
        </w:rPr>
        <w:t xml:space="preserve"> se regirán e interpretarán de acuerdo con la legislación española y europea aplicable. Para cualquier controversia, las partes se someten a los Juzgados y Tribunales de Madrid, España.</w:t>
      </w:r>
    </w:p>
    <w:p w14:paraId="0000007C" w14:textId="77777777" w:rsidR="006E1E13" w:rsidRDefault="00E924CE">
      <w:pPr>
        <w:pStyle w:val="Ttulo1"/>
        <w:numPr>
          <w:ilvl w:val="0"/>
          <w:numId w:val="2"/>
        </w:numPr>
        <w:spacing w:before="240" w:after="240" w:line="360" w:lineRule="auto"/>
        <w:rPr>
          <w:rFonts w:ascii="Verdana" w:eastAsia="Verdana" w:hAnsi="Verdana" w:cs="Verdana"/>
          <w:b/>
          <w:color w:val="000000"/>
          <w:sz w:val="20"/>
          <w:szCs w:val="20"/>
        </w:rPr>
      </w:pPr>
      <w:bookmarkStart w:id="17" w:name="_Toc202892096"/>
      <w:r>
        <w:rPr>
          <w:rFonts w:ascii="Verdana" w:eastAsia="Verdana" w:hAnsi="Verdana" w:cs="Verdana"/>
          <w:b/>
          <w:color w:val="000000"/>
          <w:sz w:val="20"/>
          <w:szCs w:val="20"/>
        </w:rPr>
        <w:t>CONTACTO</w:t>
      </w:r>
      <w:bookmarkEnd w:id="17"/>
    </w:p>
    <w:p w14:paraId="0000007D" w14:textId="77777777" w:rsidR="006E1E13" w:rsidRDefault="00E924CE">
      <w:pPr>
        <w:spacing w:before="240" w:after="240" w:line="360" w:lineRule="auto"/>
        <w:rPr>
          <w:rFonts w:ascii="Verdana" w:eastAsia="Verdana" w:hAnsi="Verdana" w:cs="Verdana"/>
          <w:sz w:val="20"/>
          <w:szCs w:val="20"/>
        </w:rPr>
      </w:pPr>
      <w:r>
        <w:rPr>
          <w:rFonts w:ascii="Verdana" w:eastAsia="Verdana" w:hAnsi="Verdana" w:cs="Verdana"/>
          <w:sz w:val="20"/>
          <w:szCs w:val="20"/>
        </w:rPr>
        <w:t>Para consultas o reclamaciones:</w:t>
      </w:r>
    </w:p>
    <w:p w14:paraId="0000007E" w14:textId="77777777" w:rsidR="006E1E13" w:rsidRDefault="00E924CE">
      <w:pPr>
        <w:numPr>
          <w:ilvl w:val="0"/>
          <w:numId w:val="3"/>
        </w:numPr>
        <w:pBdr>
          <w:top w:val="nil"/>
          <w:left w:val="nil"/>
          <w:bottom w:val="nil"/>
          <w:right w:val="nil"/>
          <w:between w:val="nil"/>
        </w:pBdr>
        <w:spacing w:before="240" w:after="240" w:line="360" w:lineRule="auto"/>
        <w:rPr>
          <w:rFonts w:ascii="Verdana" w:eastAsia="Verdana" w:hAnsi="Verdana" w:cs="Verdana"/>
          <w:color w:val="000000"/>
          <w:sz w:val="20"/>
          <w:szCs w:val="20"/>
        </w:rPr>
      </w:pPr>
      <w:r>
        <w:rPr>
          <w:rFonts w:ascii="Verdana" w:eastAsia="Verdana" w:hAnsi="Verdana" w:cs="Verdana"/>
          <w:b/>
          <w:color w:val="000000"/>
          <w:sz w:val="20"/>
          <w:szCs w:val="20"/>
        </w:rPr>
        <w:t>Correo electrónico</w:t>
      </w:r>
      <w:r>
        <w:rPr>
          <w:rFonts w:ascii="Verdana" w:eastAsia="Verdana" w:hAnsi="Verdana" w:cs="Verdana"/>
          <w:color w:val="000000"/>
          <w:sz w:val="20"/>
          <w:szCs w:val="20"/>
        </w:rPr>
        <w:t xml:space="preserve">: </w:t>
      </w:r>
      <w:hyperlink r:id="rId16">
        <w:r w:rsidR="006E1E13">
          <w:rPr>
            <w:rFonts w:ascii="Verdana" w:eastAsia="Verdana" w:hAnsi="Verdana" w:cs="Verdana"/>
            <w:color w:val="467886"/>
            <w:sz w:val="20"/>
            <w:szCs w:val="20"/>
            <w:u w:val="single"/>
          </w:rPr>
          <w:t>contacto@valorix.com</w:t>
        </w:r>
      </w:hyperlink>
      <w:r>
        <w:rPr>
          <w:rFonts w:ascii="Verdana" w:eastAsia="Verdana" w:hAnsi="Verdana" w:cs="Verdana"/>
          <w:color w:val="000000"/>
          <w:sz w:val="20"/>
          <w:szCs w:val="20"/>
        </w:rPr>
        <w:t xml:space="preserve"> </w:t>
      </w:r>
    </w:p>
    <w:p w14:paraId="00000080" w14:textId="77777777" w:rsidR="006E1E13" w:rsidRDefault="00E924CE">
      <w:pPr>
        <w:numPr>
          <w:ilvl w:val="0"/>
          <w:numId w:val="3"/>
        </w:numPr>
        <w:pBdr>
          <w:top w:val="nil"/>
          <w:left w:val="nil"/>
          <w:bottom w:val="nil"/>
          <w:right w:val="nil"/>
          <w:between w:val="nil"/>
        </w:pBdr>
        <w:spacing w:before="240" w:after="240" w:line="360" w:lineRule="auto"/>
        <w:rPr>
          <w:rFonts w:ascii="Verdana" w:eastAsia="Verdana" w:hAnsi="Verdana" w:cs="Verdana"/>
          <w:color w:val="000000"/>
          <w:sz w:val="20"/>
          <w:szCs w:val="20"/>
        </w:rPr>
      </w:pPr>
      <w:r>
        <w:rPr>
          <w:rFonts w:ascii="Verdana" w:eastAsia="Verdana" w:hAnsi="Verdana" w:cs="Verdana"/>
          <w:b/>
          <w:color w:val="000000"/>
          <w:sz w:val="20"/>
          <w:szCs w:val="20"/>
        </w:rPr>
        <w:t>Página web</w:t>
      </w:r>
      <w:r>
        <w:rPr>
          <w:rFonts w:ascii="Verdana" w:eastAsia="Verdana" w:hAnsi="Verdana" w:cs="Verdana"/>
          <w:color w:val="000000"/>
          <w:sz w:val="20"/>
          <w:szCs w:val="20"/>
        </w:rPr>
        <w:t xml:space="preserve">: </w:t>
      </w:r>
      <w:hyperlink r:id="rId17">
        <w:r w:rsidR="006E1E13">
          <w:rPr>
            <w:rFonts w:ascii="Verdana" w:eastAsia="Verdana" w:hAnsi="Verdana" w:cs="Verdana"/>
            <w:color w:val="467886"/>
            <w:sz w:val="20"/>
            <w:szCs w:val="20"/>
            <w:u w:val="single"/>
          </w:rPr>
          <w:t>https://valorix.com</w:t>
        </w:r>
      </w:hyperlink>
      <w:r>
        <w:rPr>
          <w:rFonts w:ascii="Verdana" w:eastAsia="Verdana" w:hAnsi="Verdana" w:cs="Verdana"/>
          <w:color w:val="000000"/>
          <w:sz w:val="20"/>
          <w:szCs w:val="20"/>
        </w:rPr>
        <w:t xml:space="preserve"> </w:t>
      </w:r>
    </w:p>
    <w:sectPr w:rsidR="006E1E13">
      <w:headerReference w:type="default" r:id="rId18"/>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CD224" w14:textId="77777777" w:rsidR="00C526EC" w:rsidRDefault="00C526EC">
      <w:r>
        <w:separator/>
      </w:r>
    </w:p>
  </w:endnote>
  <w:endnote w:type="continuationSeparator" w:id="0">
    <w:p w14:paraId="296C84DF" w14:textId="77777777" w:rsidR="00C526EC" w:rsidRDefault="00C5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2C3120DB-273C-48C0-9B41-5F0E30E83C13}"/>
    <w:embedBold r:id="rId2" w:fontKey="{FB479D97-A160-46E9-8280-52F6DD47D080}"/>
    <w:embedItalic r:id="rId3" w:fontKey="{EBF7BBF6-4261-47CB-A415-0AB97031F621}"/>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4" w:fontKey="{3B17717C-252E-42BE-A302-734593D9736C}"/>
    <w:embedBold r:id="rId5" w:fontKey="{B336DEE5-4625-4121-BCC0-E5E687108828}"/>
    <w:embedItalic r:id="rId6" w:fontKey="{5484C35A-8896-45C9-B2F8-7E056747BBA8}"/>
  </w:font>
  <w:font w:name="Aptos Display">
    <w:charset w:val="00"/>
    <w:family w:val="swiss"/>
    <w:pitch w:val="variable"/>
    <w:sig w:usb0="20000287" w:usb1="00000003" w:usb2="00000000" w:usb3="00000000" w:csb0="0000019F" w:csb1="00000000"/>
    <w:embedRegular r:id="rId7" w:fontKey="{46D7E417-1D78-4C2A-BAFF-628324DB89F7}"/>
    <w:embedBold r:id="rId8" w:fontKey="{7EDB7C8F-8607-4DB3-82CF-A510551641AD}"/>
  </w:font>
  <w:font w:name="Calibri">
    <w:panose1 w:val="020F0502020204030204"/>
    <w:charset w:val="00"/>
    <w:family w:val="swiss"/>
    <w:pitch w:val="variable"/>
    <w:sig w:usb0="E4002EFF" w:usb1="C200247B" w:usb2="00000009" w:usb3="00000000" w:csb0="000001FF" w:csb1="00000000"/>
    <w:embedRegular r:id="rId9" w:fontKey="{35E9F281-51CC-4808-AE72-5931B7689CB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2ED5D" w14:textId="77777777" w:rsidR="00C526EC" w:rsidRDefault="00C526EC">
      <w:r>
        <w:separator/>
      </w:r>
    </w:p>
  </w:footnote>
  <w:footnote w:type="continuationSeparator" w:id="0">
    <w:p w14:paraId="295E8CC4" w14:textId="77777777" w:rsidR="00C526EC" w:rsidRDefault="00C52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7777777" w:rsidR="006E1E13" w:rsidRDefault="006E1E13">
    <w:pPr>
      <w:widowControl w:val="0"/>
      <w:pBdr>
        <w:top w:val="nil"/>
        <w:left w:val="nil"/>
        <w:bottom w:val="nil"/>
        <w:right w:val="nil"/>
        <w:between w:val="nil"/>
      </w:pBdr>
      <w:spacing w:line="276" w:lineRule="auto"/>
      <w:rPr>
        <w:rFonts w:ascii="Verdana" w:eastAsia="Verdana" w:hAnsi="Verdana" w:cs="Verdana"/>
        <w:color w:val="000000"/>
        <w:sz w:val="20"/>
        <w:szCs w:val="20"/>
      </w:rPr>
    </w:pPr>
  </w:p>
  <w:tbl>
    <w:tblPr>
      <w:tblW w:w="8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1676"/>
      <w:gridCol w:w="5669"/>
      <w:gridCol w:w="1644"/>
    </w:tblGrid>
    <w:tr w:rsidR="006E1E13" w14:paraId="2A91291F" w14:textId="77777777">
      <w:trPr>
        <w:trHeight w:val="810"/>
        <w:jc w:val="center"/>
      </w:trPr>
      <w:tc>
        <w:tcPr>
          <w:tcW w:w="1676" w:type="dxa"/>
          <w:vAlign w:val="center"/>
        </w:tcPr>
        <w:p w14:paraId="00000082" w14:textId="77777777" w:rsidR="006E1E13" w:rsidRDefault="00E924CE">
          <w:pPr>
            <w:jc w:val="center"/>
          </w:pPr>
          <w:r>
            <w:rPr>
              <w:noProof/>
            </w:rPr>
            <w:drawing>
              <wp:anchor distT="0" distB="0" distL="114300" distR="114300" simplePos="0" relativeHeight="251658240" behindDoc="0" locked="0" layoutInCell="1" hidden="0" allowOverlap="1" wp14:anchorId="0E0CBD26" wp14:editId="19C1207E">
                <wp:simplePos x="0" y="0"/>
                <wp:positionH relativeFrom="column">
                  <wp:posOffset>14606</wp:posOffset>
                </wp:positionH>
                <wp:positionV relativeFrom="paragraph">
                  <wp:posOffset>167005</wp:posOffset>
                </wp:positionV>
                <wp:extent cx="1041400" cy="128905"/>
                <wp:effectExtent l="0" t="0" r="0" b="0"/>
                <wp:wrapNone/>
                <wp:docPr id="1124364422"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041400" cy="128905"/>
                        </a:xfrm>
                        <a:prstGeom prst="rect">
                          <a:avLst/>
                        </a:prstGeom>
                        <a:ln/>
                      </pic:spPr>
                    </pic:pic>
                  </a:graphicData>
                </a:graphic>
              </wp:anchor>
            </w:drawing>
          </w:r>
        </w:p>
        <w:p w14:paraId="00000083" w14:textId="77777777" w:rsidR="006E1E13" w:rsidRDefault="006E1E13">
          <w:pPr>
            <w:jc w:val="center"/>
          </w:pPr>
        </w:p>
      </w:tc>
      <w:tc>
        <w:tcPr>
          <w:tcW w:w="5669" w:type="dxa"/>
          <w:tcBorders>
            <w:top w:val="single" w:sz="4" w:space="0" w:color="000000"/>
          </w:tcBorders>
          <w:vAlign w:val="center"/>
        </w:tcPr>
        <w:p w14:paraId="00000084" w14:textId="411F6556" w:rsidR="006E1E13" w:rsidRDefault="00E924CE">
          <w:pPr>
            <w:jc w:val="center"/>
            <w:rPr>
              <w:rFonts w:ascii="Verdana" w:eastAsia="Verdana" w:hAnsi="Verdana" w:cs="Verdana"/>
              <w:sz w:val="20"/>
              <w:szCs w:val="20"/>
            </w:rPr>
          </w:pPr>
          <w:r w:rsidRPr="00B8745F">
            <w:rPr>
              <w:rFonts w:ascii="Verdana" w:eastAsia="Verdana" w:hAnsi="Verdana" w:cs="Verdana"/>
              <w:sz w:val="18"/>
              <w:szCs w:val="18"/>
            </w:rPr>
            <w:t xml:space="preserve">Condiciones Generales de </w:t>
          </w:r>
          <w:r w:rsidR="00B8745F" w:rsidRPr="00B8745F">
            <w:rPr>
              <w:rFonts w:ascii="Verdana" w:eastAsia="Verdana" w:hAnsi="Verdana" w:cs="Verdana"/>
              <w:sz w:val="18"/>
              <w:szCs w:val="18"/>
            </w:rPr>
            <w:t>uso de la plataforma VALORIX</w:t>
          </w:r>
        </w:p>
      </w:tc>
      <w:tc>
        <w:tcPr>
          <w:tcW w:w="1644" w:type="dxa"/>
          <w:vAlign w:val="center"/>
        </w:tcPr>
        <w:p w14:paraId="00000085" w14:textId="77777777" w:rsidR="006E1E13" w:rsidRDefault="00E924CE">
          <w:pPr>
            <w:jc w:val="center"/>
            <w:rPr>
              <w:rFonts w:ascii="Verdana" w:eastAsia="Verdana" w:hAnsi="Verdana" w:cs="Verdana"/>
              <w:sz w:val="18"/>
              <w:szCs w:val="18"/>
            </w:rPr>
          </w:pPr>
          <w:r>
            <w:rPr>
              <w:rFonts w:ascii="Verdana" w:eastAsia="Verdana" w:hAnsi="Verdana" w:cs="Verdana"/>
              <w:sz w:val="18"/>
              <w:szCs w:val="18"/>
            </w:rPr>
            <w:t>Página</w:t>
          </w:r>
        </w:p>
        <w:p w14:paraId="00000086" w14:textId="546E4963" w:rsidR="006E1E13" w:rsidRDefault="00E924CE">
          <w:pPr>
            <w:jc w:val="center"/>
            <w:rPr>
              <w:rFonts w:ascii="Verdana" w:eastAsia="Verdana" w:hAnsi="Verdana" w:cs="Verdana"/>
              <w:b/>
              <w:sz w:val="20"/>
              <w:szCs w:val="20"/>
            </w:rPr>
          </w:pPr>
          <w:r>
            <w:rPr>
              <w:rFonts w:ascii="Verdana" w:eastAsia="Verdana" w:hAnsi="Verdana" w:cs="Verdana"/>
              <w:b/>
              <w:sz w:val="18"/>
              <w:szCs w:val="18"/>
            </w:rPr>
            <w:fldChar w:fldCharType="begin"/>
          </w:r>
          <w:r>
            <w:rPr>
              <w:rFonts w:ascii="Verdana" w:eastAsia="Verdana" w:hAnsi="Verdana" w:cs="Verdana"/>
              <w:b/>
              <w:sz w:val="18"/>
              <w:szCs w:val="18"/>
            </w:rPr>
            <w:instrText>PAGE</w:instrText>
          </w:r>
          <w:r>
            <w:rPr>
              <w:rFonts w:ascii="Verdana" w:eastAsia="Verdana" w:hAnsi="Verdana" w:cs="Verdana"/>
              <w:b/>
              <w:sz w:val="18"/>
              <w:szCs w:val="18"/>
            </w:rPr>
            <w:fldChar w:fldCharType="separate"/>
          </w:r>
          <w:r w:rsidR="00816E4D">
            <w:rPr>
              <w:rFonts w:ascii="Verdana" w:eastAsia="Verdana" w:hAnsi="Verdana" w:cs="Verdana"/>
              <w:b/>
              <w:noProof/>
              <w:sz w:val="18"/>
              <w:szCs w:val="18"/>
            </w:rPr>
            <w:t>2</w:t>
          </w:r>
          <w:r>
            <w:rPr>
              <w:rFonts w:ascii="Verdana" w:eastAsia="Verdana" w:hAnsi="Verdana" w:cs="Verdana"/>
              <w:b/>
              <w:sz w:val="18"/>
              <w:szCs w:val="18"/>
            </w:rPr>
            <w:fldChar w:fldCharType="end"/>
          </w:r>
          <w:r>
            <w:rPr>
              <w:rFonts w:ascii="Verdana" w:eastAsia="Verdana" w:hAnsi="Verdana" w:cs="Verdana"/>
              <w:b/>
              <w:sz w:val="18"/>
              <w:szCs w:val="18"/>
            </w:rPr>
            <w:t xml:space="preserve"> </w:t>
          </w:r>
          <w:r>
            <w:rPr>
              <w:rFonts w:ascii="Verdana" w:eastAsia="Verdana" w:hAnsi="Verdana" w:cs="Verdana"/>
              <w:sz w:val="18"/>
              <w:szCs w:val="18"/>
            </w:rPr>
            <w:t>de</w:t>
          </w:r>
          <w:r>
            <w:rPr>
              <w:rFonts w:ascii="Verdana" w:eastAsia="Verdana" w:hAnsi="Verdana" w:cs="Verdana"/>
              <w:b/>
              <w:sz w:val="18"/>
              <w:szCs w:val="18"/>
            </w:rPr>
            <w:t xml:space="preserve"> </w:t>
          </w:r>
          <w:r>
            <w:rPr>
              <w:rFonts w:ascii="Verdana" w:eastAsia="Verdana" w:hAnsi="Verdana" w:cs="Verdana"/>
              <w:b/>
              <w:sz w:val="18"/>
              <w:szCs w:val="18"/>
            </w:rPr>
            <w:fldChar w:fldCharType="begin"/>
          </w:r>
          <w:r>
            <w:rPr>
              <w:rFonts w:ascii="Verdana" w:eastAsia="Verdana" w:hAnsi="Verdana" w:cs="Verdana"/>
              <w:b/>
              <w:sz w:val="18"/>
              <w:szCs w:val="18"/>
            </w:rPr>
            <w:instrText>NUMPAGES</w:instrText>
          </w:r>
          <w:r>
            <w:rPr>
              <w:rFonts w:ascii="Verdana" w:eastAsia="Verdana" w:hAnsi="Verdana" w:cs="Verdana"/>
              <w:b/>
              <w:sz w:val="18"/>
              <w:szCs w:val="18"/>
            </w:rPr>
            <w:fldChar w:fldCharType="separate"/>
          </w:r>
          <w:r w:rsidR="00816E4D">
            <w:rPr>
              <w:rFonts w:ascii="Verdana" w:eastAsia="Verdana" w:hAnsi="Verdana" w:cs="Verdana"/>
              <w:b/>
              <w:noProof/>
              <w:sz w:val="18"/>
              <w:szCs w:val="18"/>
            </w:rPr>
            <w:t>3</w:t>
          </w:r>
          <w:r>
            <w:rPr>
              <w:rFonts w:ascii="Verdana" w:eastAsia="Verdana" w:hAnsi="Verdana" w:cs="Verdana"/>
              <w:b/>
              <w:sz w:val="18"/>
              <w:szCs w:val="18"/>
            </w:rPr>
            <w:fldChar w:fldCharType="end"/>
          </w:r>
        </w:p>
      </w:tc>
    </w:tr>
  </w:tbl>
  <w:p w14:paraId="0000008A" w14:textId="77777777" w:rsidR="006E1E13" w:rsidRDefault="006E1E13">
    <w:pPr>
      <w:pBdr>
        <w:top w:val="nil"/>
        <w:left w:val="nil"/>
        <w:bottom w:val="nil"/>
        <w:right w:val="nil"/>
        <w:between w:val="nil"/>
      </w:pBdr>
      <w:tabs>
        <w:tab w:val="center" w:pos="4252"/>
        <w:tab w:val="right" w:pos="8504"/>
      </w:tabs>
      <w:jc w:val="right"/>
      <w:rPr>
        <w:rFonts w:ascii="Verdana" w:eastAsia="Verdana" w:hAnsi="Verdana" w:cs="Verdana"/>
        <w:b/>
        <w:color w:val="FF0000"/>
        <w:sz w:val="22"/>
        <w:szCs w:val="22"/>
      </w:rPr>
    </w:pPr>
  </w:p>
  <w:p w14:paraId="0000008B" w14:textId="77777777" w:rsidR="006E1E13" w:rsidRDefault="006E1E13">
    <w:pPr>
      <w:pBdr>
        <w:top w:val="nil"/>
        <w:left w:val="nil"/>
        <w:bottom w:val="nil"/>
        <w:right w:val="nil"/>
        <w:between w:val="nil"/>
      </w:pBdr>
      <w:tabs>
        <w:tab w:val="center" w:pos="4252"/>
        <w:tab w:val="right" w:pos="8504"/>
      </w:tabs>
      <w:jc w:val="right"/>
      <w:rPr>
        <w:rFonts w:ascii="Verdana" w:eastAsia="Verdana" w:hAnsi="Verdana" w:cs="Verdana"/>
        <w:b/>
        <w:color w:val="FF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86FE7"/>
    <w:multiLevelType w:val="hybridMultilevel"/>
    <w:tmpl w:val="70B07E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7E4716E"/>
    <w:multiLevelType w:val="multilevel"/>
    <w:tmpl w:val="C9740AFA"/>
    <w:lvl w:ilvl="0">
      <w:start w:val="1"/>
      <w:numFmt w:val="decimal"/>
      <w:lvlText w:val="%1."/>
      <w:lvlJc w:val="left"/>
      <w:pPr>
        <w:ind w:left="360" w:hanging="360"/>
      </w:pPr>
      <w:rPr>
        <w:rFonts w:ascii="Verdana" w:eastAsia="Verdana" w:hAnsi="Verdana" w:cs="Verdana"/>
        <w:b/>
        <w:i w:val="0"/>
        <w:color w:val="00000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A2116D9"/>
    <w:multiLevelType w:val="multilevel"/>
    <w:tmpl w:val="5ADA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9A3CF6"/>
    <w:multiLevelType w:val="multilevel"/>
    <w:tmpl w:val="D5688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D007FB"/>
    <w:multiLevelType w:val="multilevel"/>
    <w:tmpl w:val="B6348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AE29B9"/>
    <w:multiLevelType w:val="hybridMultilevel"/>
    <w:tmpl w:val="9B00D4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BC531FB"/>
    <w:multiLevelType w:val="multilevel"/>
    <w:tmpl w:val="42923EA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93C4E78"/>
    <w:multiLevelType w:val="hybridMultilevel"/>
    <w:tmpl w:val="3146AF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951083385">
    <w:abstractNumId w:val="6"/>
  </w:num>
  <w:num w:numId="2" w16cid:durableId="795218365">
    <w:abstractNumId w:val="1"/>
  </w:num>
  <w:num w:numId="3" w16cid:durableId="598948936">
    <w:abstractNumId w:val="3"/>
  </w:num>
  <w:num w:numId="4" w16cid:durableId="283998772">
    <w:abstractNumId w:val="4"/>
  </w:num>
  <w:num w:numId="5" w16cid:durableId="1398942298">
    <w:abstractNumId w:val="2"/>
  </w:num>
  <w:num w:numId="6" w16cid:durableId="1550607096">
    <w:abstractNumId w:val="0"/>
  </w:num>
  <w:num w:numId="7" w16cid:durableId="2098284631">
    <w:abstractNumId w:val="7"/>
  </w:num>
  <w:num w:numId="8" w16cid:durableId="6488273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E13"/>
    <w:rsid w:val="00016842"/>
    <w:rsid w:val="00016845"/>
    <w:rsid w:val="0003007A"/>
    <w:rsid w:val="000363F8"/>
    <w:rsid w:val="0004058C"/>
    <w:rsid w:val="00046F6F"/>
    <w:rsid w:val="0005607A"/>
    <w:rsid w:val="00061315"/>
    <w:rsid w:val="0006456B"/>
    <w:rsid w:val="000716B7"/>
    <w:rsid w:val="00072B2A"/>
    <w:rsid w:val="00074F61"/>
    <w:rsid w:val="00080358"/>
    <w:rsid w:val="00080C70"/>
    <w:rsid w:val="00084D09"/>
    <w:rsid w:val="000A3A68"/>
    <w:rsid w:val="000A64FC"/>
    <w:rsid w:val="000A7BDF"/>
    <w:rsid w:val="000B46AF"/>
    <w:rsid w:val="000B4AD7"/>
    <w:rsid w:val="000B68D3"/>
    <w:rsid w:val="000C4B91"/>
    <w:rsid w:val="000D2378"/>
    <w:rsid w:val="000D4A89"/>
    <w:rsid w:val="000E512E"/>
    <w:rsid w:val="000F5574"/>
    <w:rsid w:val="001071A7"/>
    <w:rsid w:val="00114B54"/>
    <w:rsid w:val="0011652E"/>
    <w:rsid w:val="00164190"/>
    <w:rsid w:val="0016438E"/>
    <w:rsid w:val="00166B1D"/>
    <w:rsid w:val="00182EC8"/>
    <w:rsid w:val="00185F03"/>
    <w:rsid w:val="00186D7C"/>
    <w:rsid w:val="001926D1"/>
    <w:rsid w:val="001977AE"/>
    <w:rsid w:val="001A100F"/>
    <w:rsid w:val="001B5DEE"/>
    <w:rsid w:val="001B7362"/>
    <w:rsid w:val="001C3E4D"/>
    <w:rsid w:val="001C4169"/>
    <w:rsid w:val="001D14AF"/>
    <w:rsid w:val="001D2C63"/>
    <w:rsid w:val="001D42FC"/>
    <w:rsid w:val="001D5817"/>
    <w:rsid w:val="001D5A12"/>
    <w:rsid w:val="001E1FDE"/>
    <w:rsid w:val="001E44CE"/>
    <w:rsid w:val="001E68C2"/>
    <w:rsid w:val="001F0C38"/>
    <w:rsid w:val="001F1493"/>
    <w:rsid w:val="001F5598"/>
    <w:rsid w:val="002007C3"/>
    <w:rsid w:val="00214079"/>
    <w:rsid w:val="002153DD"/>
    <w:rsid w:val="00216075"/>
    <w:rsid w:val="00216958"/>
    <w:rsid w:val="0022323A"/>
    <w:rsid w:val="00225CCA"/>
    <w:rsid w:val="0025205E"/>
    <w:rsid w:val="002631AD"/>
    <w:rsid w:val="00272A63"/>
    <w:rsid w:val="00272F62"/>
    <w:rsid w:val="00277B4C"/>
    <w:rsid w:val="0028630E"/>
    <w:rsid w:val="002A4D8A"/>
    <w:rsid w:val="002B0364"/>
    <w:rsid w:val="002B75AC"/>
    <w:rsid w:val="002C122F"/>
    <w:rsid w:val="002C39C7"/>
    <w:rsid w:val="002D1B42"/>
    <w:rsid w:val="002E00DB"/>
    <w:rsid w:val="002F0F10"/>
    <w:rsid w:val="003022AC"/>
    <w:rsid w:val="00305144"/>
    <w:rsid w:val="00306127"/>
    <w:rsid w:val="003179E1"/>
    <w:rsid w:val="00321F6C"/>
    <w:rsid w:val="00333B01"/>
    <w:rsid w:val="00353264"/>
    <w:rsid w:val="0035740F"/>
    <w:rsid w:val="003703F9"/>
    <w:rsid w:val="003768A9"/>
    <w:rsid w:val="003B3304"/>
    <w:rsid w:val="003C3368"/>
    <w:rsid w:val="003D02D8"/>
    <w:rsid w:val="003F369B"/>
    <w:rsid w:val="003F6E17"/>
    <w:rsid w:val="00406A88"/>
    <w:rsid w:val="004147E3"/>
    <w:rsid w:val="00423FC7"/>
    <w:rsid w:val="00435A28"/>
    <w:rsid w:val="004423F6"/>
    <w:rsid w:val="00450736"/>
    <w:rsid w:val="00453E71"/>
    <w:rsid w:val="004561B4"/>
    <w:rsid w:val="0046790A"/>
    <w:rsid w:val="00471924"/>
    <w:rsid w:val="00471ABF"/>
    <w:rsid w:val="004A405E"/>
    <w:rsid w:val="004C2BA0"/>
    <w:rsid w:val="004C3E80"/>
    <w:rsid w:val="004C3EE9"/>
    <w:rsid w:val="004D6E1C"/>
    <w:rsid w:val="004E5527"/>
    <w:rsid w:val="004F060F"/>
    <w:rsid w:val="00527C09"/>
    <w:rsid w:val="00531CD6"/>
    <w:rsid w:val="00573F92"/>
    <w:rsid w:val="00592A35"/>
    <w:rsid w:val="005A74EB"/>
    <w:rsid w:val="005B3BA6"/>
    <w:rsid w:val="005C3029"/>
    <w:rsid w:val="005F3C57"/>
    <w:rsid w:val="00610390"/>
    <w:rsid w:val="006170ED"/>
    <w:rsid w:val="00624A64"/>
    <w:rsid w:val="00632C48"/>
    <w:rsid w:val="00636F4D"/>
    <w:rsid w:val="00645286"/>
    <w:rsid w:val="00645856"/>
    <w:rsid w:val="00657FC3"/>
    <w:rsid w:val="006700F8"/>
    <w:rsid w:val="00672357"/>
    <w:rsid w:val="00674768"/>
    <w:rsid w:val="00686457"/>
    <w:rsid w:val="00693C21"/>
    <w:rsid w:val="006A7602"/>
    <w:rsid w:val="006B4EFE"/>
    <w:rsid w:val="006B7EC2"/>
    <w:rsid w:val="006C0F3B"/>
    <w:rsid w:val="006C3504"/>
    <w:rsid w:val="006E1E13"/>
    <w:rsid w:val="006E68BF"/>
    <w:rsid w:val="006F5F45"/>
    <w:rsid w:val="00764D69"/>
    <w:rsid w:val="00771CE4"/>
    <w:rsid w:val="00772F69"/>
    <w:rsid w:val="007A6CA9"/>
    <w:rsid w:val="007B0F35"/>
    <w:rsid w:val="007C0677"/>
    <w:rsid w:val="007C408B"/>
    <w:rsid w:val="007D4190"/>
    <w:rsid w:val="007E4634"/>
    <w:rsid w:val="007E478A"/>
    <w:rsid w:val="007F1D66"/>
    <w:rsid w:val="007F716E"/>
    <w:rsid w:val="008047FE"/>
    <w:rsid w:val="0081270B"/>
    <w:rsid w:val="00816E4D"/>
    <w:rsid w:val="00824DCE"/>
    <w:rsid w:val="008348E0"/>
    <w:rsid w:val="00863569"/>
    <w:rsid w:val="00863EA2"/>
    <w:rsid w:val="0087733F"/>
    <w:rsid w:val="00877CE7"/>
    <w:rsid w:val="0089149A"/>
    <w:rsid w:val="008A0EF7"/>
    <w:rsid w:val="008B12EF"/>
    <w:rsid w:val="008B5C9E"/>
    <w:rsid w:val="008B6004"/>
    <w:rsid w:val="008C7D3D"/>
    <w:rsid w:val="008D1CD1"/>
    <w:rsid w:val="008E313B"/>
    <w:rsid w:val="00955E4F"/>
    <w:rsid w:val="00993997"/>
    <w:rsid w:val="009B5AFF"/>
    <w:rsid w:val="009C51B5"/>
    <w:rsid w:val="009D1F31"/>
    <w:rsid w:val="009E0065"/>
    <w:rsid w:val="009E7EA3"/>
    <w:rsid w:val="009F3521"/>
    <w:rsid w:val="009F60F2"/>
    <w:rsid w:val="00A03B82"/>
    <w:rsid w:val="00A05BA5"/>
    <w:rsid w:val="00A21C2F"/>
    <w:rsid w:val="00A2380D"/>
    <w:rsid w:val="00A47574"/>
    <w:rsid w:val="00A51E0F"/>
    <w:rsid w:val="00A84066"/>
    <w:rsid w:val="00A840E5"/>
    <w:rsid w:val="00A85500"/>
    <w:rsid w:val="00A85533"/>
    <w:rsid w:val="00A96002"/>
    <w:rsid w:val="00AA0DAC"/>
    <w:rsid w:val="00AA65C4"/>
    <w:rsid w:val="00AB3009"/>
    <w:rsid w:val="00AB7FC9"/>
    <w:rsid w:val="00AC065D"/>
    <w:rsid w:val="00AD0D97"/>
    <w:rsid w:val="00AE145C"/>
    <w:rsid w:val="00AE4922"/>
    <w:rsid w:val="00AE517F"/>
    <w:rsid w:val="00AE51E0"/>
    <w:rsid w:val="00AE66C5"/>
    <w:rsid w:val="00B05B69"/>
    <w:rsid w:val="00B16EDC"/>
    <w:rsid w:val="00B2298C"/>
    <w:rsid w:val="00B32AF2"/>
    <w:rsid w:val="00B37A5A"/>
    <w:rsid w:val="00B47348"/>
    <w:rsid w:val="00B50674"/>
    <w:rsid w:val="00B546B5"/>
    <w:rsid w:val="00B74692"/>
    <w:rsid w:val="00B76409"/>
    <w:rsid w:val="00B8745F"/>
    <w:rsid w:val="00B95ECD"/>
    <w:rsid w:val="00B97A00"/>
    <w:rsid w:val="00BA31C9"/>
    <w:rsid w:val="00BB5033"/>
    <w:rsid w:val="00BB517A"/>
    <w:rsid w:val="00BC74A6"/>
    <w:rsid w:val="00BE0B7E"/>
    <w:rsid w:val="00BE0BA4"/>
    <w:rsid w:val="00BE2478"/>
    <w:rsid w:val="00BF392F"/>
    <w:rsid w:val="00BF6704"/>
    <w:rsid w:val="00C07E59"/>
    <w:rsid w:val="00C24948"/>
    <w:rsid w:val="00C27F68"/>
    <w:rsid w:val="00C30893"/>
    <w:rsid w:val="00C526EC"/>
    <w:rsid w:val="00C55EFD"/>
    <w:rsid w:val="00C66A70"/>
    <w:rsid w:val="00C720E8"/>
    <w:rsid w:val="00C7220F"/>
    <w:rsid w:val="00C823D7"/>
    <w:rsid w:val="00C85C03"/>
    <w:rsid w:val="00C87E10"/>
    <w:rsid w:val="00C92CE9"/>
    <w:rsid w:val="00C954CE"/>
    <w:rsid w:val="00CA0FAB"/>
    <w:rsid w:val="00CB0BF1"/>
    <w:rsid w:val="00CB6C11"/>
    <w:rsid w:val="00CC0821"/>
    <w:rsid w:val="00CD385D"/>
    <w:rsid w:val="00CD4D96"/>
    <w:rsid w:val="00CE2B05"/>
    <w:rsid w:val="00CF3040"/>
    <w:rsid w:val="00D0114F"/>
    <w:rsid w:val="00D1268D"/>
    <w:rsid w:val="00D1387E"/>
    <w:rsid w:val="00D150A8"/>
    <w:rsid w:val="00D21C40"/>
    <w:rsid w:val="00D33FD9"/>
    <w:rsid w:val="00D34E8E"/>
    <w:rsid w:val="00D35757"/>
    <w:rsid w:val="00D63D2E"/>
    <w:rsid w:val="00D67D5A"/>
    <w:rsid w:val="00D72B8F"/>
    <w:rsid w:val="00D738EB"/>
    <w:rsid w:val="00D87EC1"/>
    <w:rsid w:val="00D979C0"/>
    <w:rsid w:val="00DC22E8"/>
    <w:rsid w:val="00DC55C4"/>
    <w:rsid w:val="00DE4010"/>
    <w:rsid w:val="00DE48BB"/>
    <w:rsid w:val="00DE772F"/>
    <w:rsid w:val="00DF5B9A"/>
    <w:rsid w:val="00E11963"/>
    <w:rsid w:val="00E25749"/>
    <w:rsid w:val="00E274FD"/>
    <w:rsid w:val="00E32CFA"/>
    <w:rsid w:val="00E33299"/>
    <w:rsid w:val="00E40AC0"/>
    <w:rsid w:val="00E65120"/>
    <w:rsid w:val="00E66026"/>
    <w:rsid w:val="00E7045D"/>
    <w:rsid w:val="00E73CA4"/>
    <w:rsid w:val="00E77D6B"/>
    <w:rsid w:val="00E87FDB"/>
    <w:rsid w:val="00E924CE"/>
    <w:rsid w:val="00E96772"/>
    <w:rsid w:val="00EA22A1"/>
    <w:rsid w:val="00EB14E6"/>
    <w:rsid w:val="00EB2E23"/>
    <w:rsid w:val="00EB426F"/>
    <w:rsid w:val="00ED14E2"/>
    <w:rsid w:val="00ED284F"/>
    <w:rsid w:val="00ED4B54"/>
    <w:rsid w:val="00EE32C0"/>
    <w:rsid w:val="00EF3291"/>
    <w:rsid w:val="00F0167B"/>
    <w:rsid w:val="00F04235"/>
    <w:rsid w:val="00F16F73"/>
    <w:rsid w:val="00F210E7"/>
    <w:rsid w:val="00F26AD2"/>
    <w:rsid w:val="00F658FB"/>
    <w:rsid w:val="00F74E6B"/>
    <w:rsid w:val="00F83747"/>
    <w:rsid w:val="00F92C7E"/>
    <w:rsid w:val="00FA7CC3"/>
    <w:rsid w:val="00FD767A"/>
    <w:rsid w:val="00FE0107"/>
    <w:rsid w:val="00FF0907"/>
    <w:rsid w:val="00FF56E8"/>
    <w:rsid w:val="046F67EB"/>
    <w:rsid w:val="06294627"/>
    <w:rsid w:val="07A53882"/>
    <w:rsid w:val="0A7E8932"/>
    <w:rsid w:val="0CAA9E5F"/>
    <w:rsid w:val="10B41E92"/>
    <w:rsid w:val="156E878F"/>
    <w:rsid w:val="1A1BF89F"/>
    <w:rsid w:val="2607A06F"/>
    <w:rsid w:val="285A6386"/>
    <w:rsid w:val="2921498A"/>
    <w:rsid w:val="29304F62"/>
    <w:rsid w:val="33FC1BF5"/>
    <w:rsid w:val="37CFE3A6"/>
    <w:rsid w:val="3D594782"/>
    <w:rsid w:val="426946BA"/>
    <w:rsid w:val="42793213"/>
    <w:rsid w:val="4D969091"/>
    <w:rsid w:val="576BD6AA"/>
    <w:rsid w:val="5C8ACABB"/>
    <w:rsid w:val="5F0DF6FE"/>
    <w:rsid w:val="6FD77FE1"/>
    <w:rsid w:val="719AA9FA"/>
    <w:rsid w:val="74073553"/>
    <w:rsid w:val="773DC15B"/>
    <w:rsid w:val="78037503"/>
    <w:rsid w:val="7C6F903C"/>
    <w:rsid w:val="7C7A32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6E57"/>
  <w15:docId w15:val="{21B7B305-1C19-4938-95EB-0A2130DE3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945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945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945D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945D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945D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945D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945D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945D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945D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semiHidden/>
    <w:unhideWhenUsed/>
    <w:rsid w:val="00EF3291"/>
    <w:rPr>
      <w:b/>
      <w:bCs/>
    </w:rPr>
  </w:style>
  <w:style w:type="paragraph" w:styleId="Ttulo">
    <w:name w:val="Title"/>
    <w:basedOn w:val="Normal"/>
    <w:next w:val="Normal"/>
    <w:link w:val="TtuloCar"/>
    <w:uiPriority w:val="10"/>
    <w:qFormat/>
    <w:rsid w:val="005945D1"/>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945D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945D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945D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945D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945D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945D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945D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945D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945D1"/>
    <w:rPr>
      <w:rFonts w:eastAsiaTheme="majorEastAsia" w:cstheme="majorBidi"/>
      <w:color w:val="272727" w:themeColor="text1" w:themeTint="D8"/>
    </w:rPr>
  </w:style>
  <w:style w:type="character" w:customStyle="1" w:styleId="TtuloCar">
    <w:name w:val="Título Car"/>
    <w:basedOn w:val="Fuentedeprrafopredeter"/>
    <w:link w:val="Ttulo"/>
    <w:uiPriority w:val="10"/>
    <w:rsid w:val="005945D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5945D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945D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945D1"/>
    <w:rPr>
      <w:i/>
      <w:iCs/>
      <w:color w:val="404040" w:themeColor="text1" w:themeTint="BF"/>
    </w:rPr>
  </w:style>
  <w:style w:type="paragraph" w:styleId="Prrafodelista">
    <w:name w:val="List Paragraph"/>
    <w:basedOn w:val="Normal"/>
    <w:uiPriority w:val="34"/>
    <w:qFormat/>
    <w:rsid w:val="005945D1"/>
    <w:pPr>
      <w:ind w:left="720"/>
      <w:contextualSpacing/>
    </w:pPr>
  </w:style>
  <w:style w:type="character" w:styleId="nfasisintenso">
    <w:name w:val="Intense Emphasis"/>
    <w:basedOn w:val="Fuentedeprrafopredeter"/>
    <w:uiPriority w:val="21"/>
    <w:qFormat/>
    <w:rsid w:val="005945D1"/>
    <w:rPr>
      <w:i/>
      <w:iCs/>
      <w:color w:val="0F4761" w:themeColor="accent1" w:themeShade="BF"/>
    </w:rPr>
  </w:style>
  <w:style w:type="paragraph" w:styleId="Citadestacada">
    <w:name w:val="Intense Quote"/>
    <w:basedOn w:val="Normal"/>
    <w:next w:val="Normal"/>
    <w:link w:val="CitadestacadaCar"/>
    <w:uiPriority w:val="30"/>
    <w:qFormat/>
    <w:rsid w:val="005945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945D1"/>
    <w:rPr>
      <w:i/>
      <w:iCs/>
      <w:color w:val="0F4761" w:themeColor="accent1" w:themeShade="BF"/>
    </w:rPr>
  </w:style>
  <w:style w:type="character" w:styleId="Referenciaintensa">
    <w:name w:val="Intense Reference"/>
    <w:basedOn w:val="Fuentedeprrafopredeter"/>
    <w:uiPriority w:val="32"/>
    <w:qFormat/>
    <w:rsid w:val="005945D1"/>
    <w:rPr>
      <w:b/>
      <w:bCs/>
      <w:smallCaps/>
      <w:color w:val="0F4761" w:themeColor="accent1" w:themeShade="BF"/>
      <w:spacing w:val="5"/>
    </w:rPr>
  </w:style>
  <w:style w:type="paragraph" w:styleId="Encabezado">
    <w:name w:val="header"/>
    <w:basedOn w:val="Normal"/>
    <w:link w:val="EncabezadoCar"/>
    <w:uiPriority w:val="99"/>
    <w:unhideWhenUsed/>
    <w:rsid w:val="005945D1"/>
    <w:pPr>
      <w:tabs>
        <w:tab w:val="center" w:pos="4252"/>
        <w:tab w:val="right" w:pos="8504"/>
      </w:tabs>
    </w:pPr>
  </w:style>
  <w:style w:type="character" w:customStyle="1" w:styleId="EncabezadoCar">
    <w:name w:val="Encabezado Car"/>
    <w:basedOn w:val="Fuentedeprrafopredeter"/>
    <w:link w:val="Encabezado"/>
    <w:uiPriority w:val="99"/>
    <w:rsid w:val="005945D1"/>
  </w:style>
  <w:style w:type="paragraph" w:styleId="Piedepgina">
    <w:name w:val="footer"/>
    <w:basedOn w:val="Normal"/>
    <w:link w:val="PiedepginaCar"/>
    <w:uiPriority w:val="99"/>
    <w:unhideWhenUsed/>
    <w:rsid w:val="005945D1"/>
    <w:pPr>
      <w:tabs>
        <w:tab w:val="center" w:pos="4252"/>
        <w:tab w:val="right" w:pos="8504"/>
      </w:tabs>
    </w:pPr>
  </w:style>
  <w:style w:type="character" w:customStyle="1" w:styleId="PiedepginaCar">
    <w:name w:val="Pie de página Car"/>
    <w:basedOn w:val="Fuentedeprrafopredeter"/>
    <w:link w:val="Piedepgina"/>
    <w:uiPriority w:val="99"/>
    <w:rsid w:val="005945D1"/>
  </w:style>
  <w:style w:type="character" w:styleId="Hipervnculo">
    <w:name w:val="Hyperlink"/>
    <w:basedOn w:val="Fuentedeprrafopredeter"/>
    <w:uiPriority w:val="99"/>
    <w:unhideWhenUsed/>
    <w:rsid w:val="002D693C"/>
    <w:rPr>
      <w:color w:val="467886" w:themeColor="hyperlink"/>
      <w:u w:val="single"/>
    </w:rPr>
  </w:style>
  <w:style w:type="character" w:styleId="Mencinsinresolver">
    <w:name w:val="Unresolved Mention"/>
    <w:basedOn w:val="Fuentedeprrafopredeter"/>
    <w:uiPriority w:val="99"/>
    <w:semiHidden/>
    <w:unhideWhenUsed/>
    <w:rsid w:val="002D693C"/>
    <w:rPr>
      <w:color w:val="605E5C"/>
      <w:shd w:val="clear" w:color="auto" w:fill="E1DFDD"/>
    </w:rPr>
  </w:style>
  <w:style w:type="table" w:styleId="Tablaconcuadrcula">
    <w:name w:val="Table Grid"/>
    <w:basedOn w:val="Tablanormal"/>
    <w:uiPriority w:val="39"/>
    <w:rsid w:val="00E25BBE"/>
    <w:pPr>
      <w:spacing w:after="120" w:line="276" w:lineRule="auto"/>
    </w:pPr>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basedOn w:val="Fuentedeprrafopredeter"/>
    <w:uiPriority w:val="99"/>
    <w:semiHidden/>
    <w:unhideWhenUsed/>
    <w:rsid w:val="000B7E24"/>
    <w:rPr>
      <w:color w:val="96607D" w:themeColor="followedHyperlink"/>
      <w:u w:val="single"/>
    </w:rPr>
  </w:style>
  <w:style w:type="paragraph" w:styleId="TtuloTDC">
    <w:name w:val="TOC Heading"/>
    <w:basedOn w:val="Ttulo1"/>
    <w:next w:val="Normal"/>
    <w:uiPriority w:val="39"/>
    <w:unhideWhenUsed/>
    <w:qFormat/>
    <w:rsid w:val="00F220EE"/>
    <w:pPr>
      <w:spacing w:before="480" w:after="0" w:line="276" w:lineRule="auto"/>
      <w:outlineLvl w:val="9"/>
    </w:pPr>
    <w:rPr>
      <w:b/>
      <w:bCs/>
      <w:sz w:val="28"/>
      <w:szCs w:val="28"/>
    </w:rPr>
  </w:style>
  <w:style w:type="paragraph" w:styleId="TDC1">
    <w:name w:val="toc 1"/>
    <w:basedOn w:val="Normal"/>
    <w:next w:val="Normal"/>
    <w:autoRedefine/>
    <w:uiPriority w:val="39"/>
    <w:unhideWhenUsed/>
    <w:rsid w:val="00E924CE"/>
    <w:pPr>
      <w:spacing w:before="120" w:after="120"/>
    </w:pPr>
    <w:rPr>
      <w:rFonts w:ascii="Verdana" w:hAnsi="Verdana"/>
      <w:b/>
      <w:bCs/>
      <w:caps/>
      <w:sz w:val="22"/>
      <w:szCs w:val="20"/>
    </w:rPr>
  </w:style>
  <w:style w:type="paragraph" w:styleId="TDC2">
    <w:name w:val="toc 2"/>
    <w:basedOn w:val="Normal"/>
    <w:next w:val="Normal"/>
    <w:autoRedefine/>
    <w:uiPriority w:val="39"/>
    <w:semiHidden/>
    <w:unhideWhenUsed/>
    <w:rsid w:val="00F220EE"/>
    <w:pPr>
      <w:ind w:left="240"/>
    </w:pPr>
    <w:rPr>
      <w:smallCaps/>
      <w:sz w:val="20"/>
      <w:szCs w:val="20"/>
    </w:rPr>
  </w:style>
  <w:style w:type="paragraph" w:styleId="TDC3">
    <w:name w:val="toc 3"/>
    <w:basedOn w:val="Normal"/>
    <w:next w:val="Normal"/>
    <w:autoRedefine/>
    <w:uiPriority w:val="39"/>
    <w:semiHidden/>
    <w:unhideWhenUsed/>
    <w:rsid w:val="00F220EE"/>
    <w:pPr>
      <w:ind w:left="480"/>
    </w:pPr>
    <w:rPr>
      <w:i/>
      <w:iCs/>
      <w:sz w:val="20"/>
      <w:szCs w:val="20"/>
    </w:rPr>
  </w:style>
  <w:style w:type="paragraph" w:styleId="TDC4">
    <w:name w:val="toc 4"/>
    <w:basedOn w:val="Normal"/>
    <w:next w:val="Normal"/>
    <w:autoRedefine/>
    <w:uiPriority w:val="39"/>
    <w:semiHidden/>
    <w:unhideWhenUsed/>
    <w:rsid w:val="00F220EE"/>
    <w:pPr>
      <w:ind w:left="720"/>
    </w:pPr>
    <w:rPr>
      <w:sz w:val="18"/>
      <w:szCs w:val="18"/>
    </w:rPr>
  </w:style>
  <w:style w:type="paragraph" w:styleId="TDC5">
    <w:name w:val="toc 5"/>
    <w:basedOn w:val="Normal"/>
    <w:next w:val="Normal"/>
    <w:autoRedefine/>
    <w:uiPriority w:val="39"/>
    <w:semiHidden/>
    <w:unhideWhenUsed/>
    <w:rsid w:val="00F220EE"/>
    <w:pPr>
      <w:ind w:left="960"/>
    </w:pPr>
    <w:rPr>
      <w:sz w:val="18"/>
      <w:szCs w:val="18"/>
    </w:rPr>
  </w:style>
  <w:style w:type="paragraph" w:styleId="TDC6">
    <w:name w:val="toc 6"/>
    <w:basedOn w:val="Normal"/>
    <w:next w:val="Normal"/>
    <w:autoRedefine/>
    <w:uiPriority w:val="39"/>
    <w:semiHidden/>
    <w:unhideWhenUsed/>
    <w:rsid w:val="00F220EE"/>
    <w:pPr>
      <w:ind w:left="1200"/>
    </w:pPr>
    <w:rPr>
      <w:sz w:val="18"/>
      <w:szCs w:val="18"/>
    </w:rPr>
  </w:style>
  <w:style w:type="paragraph" w:styleId="TDC7">
    <w:name w:val="toc 7"/>
    <w:basedOn w:val="Normal"/>
    <w:next w:val="Normal"/>
    <w:autoRedefine/>
    <w:uiPriority w:val="39"/>
    <w:semiHidden/>
    <w:unhideWhenUsed/>
    <w:rsid w:val="00F220EE"/>
    <w:pPr>
      <w:ind w:left="1440"/>
    </w:pPr>
    <w:rPr>
      <w:sz w:val="18"/>
      <w:szCs w:val="18"/>
    </w:rPr>
  </w:style>
  <w:style w:type="paragraph" w:styleId="TDC8">
    <w:name w:val="toc 8"/>
    <w:basedOn w:val="Normal"/>
    <w:next w:val="Normal"/>
    <w:autoRedefine/>
    <w:uiPriority w:val="39"/>
    <w:semiHidden/>
    <w:unhideWhenUsed/>
    <w:rsid w:val="00F220EE"/>
    <w:pPr>
      <w:ind w:left="1680"/>
    </w:pPr>
    <w:rPr>
      <w:sz w:val="18"/>
      <w:szCs w:val="18"/>
    </w:rPr>
  </w:style>
  <w:style w:type="paragraph" w:styleId="TDC9">
    <w:name w:val="toc 9"/>
    <w:basedOn w:val="Normal"/>
    <w:next w:val="Normal"/>
    <w:autoRedefine/>
    <w:uiPriority w:val="39"/>
    <w:semiHidden/>
    <w:unhideWhenUsed/>
    <w:rsid w:val="00F220EE"/>
    <w:pPr>
      <w:ind w:left="1920"/>
    </w:pPr>
    <w:rPr>
      <w:sz w:val="18"/>
      <w:szCs w:val="18"/>
    </w:rPr>
  </w:style>
  <w:style w:type="paragraph" w:styleId="Revisin">
    <w:name w:val="Revision"/>
    <w:hidden/>
    <w:uiPriority w:val="99"/>
    <w:semiHidden/>
    <w:rsid w:val="00E10A06"/>
  </w:style>
  <w:style w:type="paragraph" w:customStyle="1" w:styleId="p1">
    <w:name w:val="p1"/>
    <w:basedOn w:val="Normal"/>
    <w:rsid w:val="007F3E6F"/>
    <w:pPr>
      <w:spacing w:before="100" w:beforeAutospacing="1" w:after="100" w:afterAutospacing="1"/>
    </w:pPr>
    <w:rPr>
      <w:rFonts w:ascii="Times New Roman" w:eastAsia="Times New Roman" w:hAnsi="Times New Roman" w:cs="Times New Roman"/>
    </w:rPr>
  </w:style>
  <w:style w:type="paragraph" w:customStyle="1" w:styleId="p2">
    <w:name w:val="p2"/>
    <w:basedOn w:val="Normal"/>
    <w:rsid w:val="007F3E6F"/>
    <w:pPr>
      <w:spacing w:before="100" w:beforeAutospacing="1" w:after="100" w:afterAutospacing="1"/>
    </w:pPr>
    <w:rPr>
      <w:rFonts w:ascii="Times New Roman" w:eastAsia="Times New Roman" w:hAnsi="Times New Roman" w:cs="Times New Roman"/>
    </w:rPr>
  </w:style>
  <w:style w:type="character" w:customStyle="1" w:styleId="s1">
    <w:name w:val="s1"/>
    <w:basedOn w:val="Fuentedeprrafopredeter"/>
    <w:rsid w:val="00166625"/>
  </w:style>
  <w:style w:type="table" w:customStyle="1" w:styleId="a">
    <w:basedOn w:val="Tablanormal"/>
    <w:pPr>
      <w:spacing w:after="120" w:line="276" w:lineRule="auto"/>
    </w:pPr>
    <w:rPr>
      <w:rFonts w:ascii="Calibri" w:eastAsia="Calibri" w:hAnsi="Calibri" w:cs="Calibri"/>
      <w:sz w:val="22"/>
      <w:szCs w:val="22"/>
    </w:rPr>
    <w:tblPr>
      <w:tblStyleRowBandSize w:val="1"/>
      <w:tblStyleColBandSize w:val="1"/>
      <w:tblInd w:w="0" w:type="nil"/>
    </w:tblPr>
  </w:style>
  <w:style w:type="table" w:customStyle="1" w:styleId="a0">
    <w:basedOn w:val="Tablanormal"/>
    <w:pPr>
      <w:spacing w:after="120" w:line="276" w:lineRule="auto"/>
    </w:pPr>
    <w:rPr>
      <w:rFonts w:ascii="Calibri" w:eastAsia="Calibri" w:hAnsi="Calibri" w:cs="Calibri"/>
      <w:sz w:val="22"/>
      <w:szCs w:val="22"/>
    </w:rPr>
    <w:tblPr>
      <w:tblStyleRowBandSize w:val="1"/>
      <w:tblStyleColBandSize w:val="1"/>
      <w:tblInd w:w="0" w:type="nil"/>
      <w:tblCellMar>
        <w:left w:w="0" w:type="dxa"/>
        <w:right w:w="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NormalWeb">
    <w:name w:val="Normal (Web)"/>
    <w:basedOn w:val="Normal"/>
    <w:uiPriority w:val="99"/>
    <w:unhideWhenUsed/>
    <w:rsid w:val="00AE4922"/>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AE4922"/>
    <w:rPr>
      <w:b/>
      <w:bCs/>
    </w:rPr>
  </w:style>
  <w:style w:type="character" w:customStyle="1" w:styleId="apple-converted-space">
    <w:name w:val="apple-converted-space"/>
    <w:basedOn w:val="Fuentedeprrafopredeter"/>
    <w:rsid w:val="00AE4922"/>
  </w:style>
  <w:style w:type="character" w:customStyle="1" w:styleId="s2">
    <w:name w:val="s2"/>
    <w:basedOn w:val="Fuentedeprrafopredeter"/>
    <w:rsid w:val="004C3EE9"/>
  </w:style>
  <w:style w:type="table" w:customStyle="1" w:styleId="TableNormal1">
    <w:name w:val="Table Normal1"/>
    <w:rsid w:val="00A840E5"/>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EF3291"/>
    <w:rPr>
      <w:b/>
      <w:bCs/>
      <w:sz w:val="20"/>
      <w:szCs w:val="20"/>
    </w:rPr>
  </w:style>
  <w:style w:type="character" w:customStyle="1" w:styleId="normaltextrun">
    <w:name w:val="normaltextrun"/>
    <w:basedOn w:val="Fuentedeprrafopredeter"/>
    <w:rsid w:val="00FF5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53937">
      <w:bodyDiv w:val="1"/>
      <w:marLeft w:val="0"/>
      <w:marRight w:val="0"/>
      <w:marTop w:val="0"/>
      <w:marBottom w:val="0"/>
      <w:divBdr>
        <w:top w:val="none" w:sz="0" w:space="0" w:color="auto"/>
        <w:left w:val="none" w:sz="0" w:space="0" w:color="auto"/>
        <w:bottom w:val="none" w:sz="0" w:space="0" w:color="auto"/>
        <w:right w:val="none" w:sz="0" w:space="0" w:color="auto"/>
      </w:divBdr>
    </w:div>
    <w:div w:id="578251355">
      <w:bodyDiv w:val="1"/>
      <w:marLeft w:val="0"/>
      <w:marRight w:val="0"/>
      <w:marTop w:val="0"/>
      <w:marBottom w:val="0"/>
      <w:divBdr>
        <w:top w:val="none" w:sz="0" w:space="0" w:color="auto"/>
        <w:left w:val="none" w:sz="0" w:space="0" w:color="auto"/>
        <w:bottom w:val="none" w:sz="0" w:space="0" w:color="auto"/>
        <w:right w:val="none" w:sz="0" w:space="0" w:color="auto"/>
      </w:divBdr>
    </w:div>
    <w:div w:id="653144340">
      <w:bodyDiv w:val="1"/>
      <w:marLeft w:val="0"/>
      <w:marRight w:val="0"/>
      <w:marTop w:val="0"/>
      <w:marBottom w:val="0"/>
      <w:divBdr>
        <w:top w:val="none" w:sz="0" w:space="0" w:color="auto"/>
        <w:left w:val="none" w:sz="0" w:space="0" w:color="auto"/>
        <w:bottom w:val="none" w:sz="0" w:space="0" w:color="auto"/>
        <w:right w:val="none" w:sz="0" w:space="0" w:color="auto"/>
      </w:divBdr>
    </w:div>
    <w:div w:id="970213129">
      <w:bodyDiv w:val="1"/>
      <w:marLeft w:val="0"/>
      <w:marRight w:val="0"/>
      <w:marTop w:val="0"/>
      <w:marBottom w:val="0"/>
      <w:divBdr>
        <w:top w:val="none" w:sz="0" w:space="0" w:color="auto"/>
        <w:left w:val="none" w:sz="0" w:space="0" w:color="auto"/>
        <w:bottom w:val="none" w:sz="0" w:space="0" w:color="auto"/>
        <w:right w:val="none" w:sz="0" w:space="0" w:color="auto"/>
      </w:divBdr>
    </w:div>
    <w:div w:id="1178932946">
      <w:bodyDiv w:val="1"/>
      <w:marLeft w:val="0"/>
      <w:marRight w:val="0"/>
      <w:marTop w:val="0"/>
      <w:marBottom w:val="0"/>
      <w:divBdr>
        <w:top w:val="none" w:sz="0" w:space="0" w:color="auto"/>
        <w:left w:val="none" w:sz="0" w:space="0" w:color="auto"/>
        <w:bottom w:val="none" w:sz="0" w:space="0" w:color="auto"/>
        <w:right w:val="none" w:sz="0" w:space="0" w:color="auto"/>
      </w:divBdr>
    </w:div>
    <w:div w:id="1317412207">
      <w:bodyDiv w:val="1"/>
      <w:marLeft w:val="0"/>
      <w:marRight w:val="0"/>
      <w:marTop w:val="0"/>
      <w:marBottom w:val="0"/>
      <w:divBdr>
        <w:top w:val="none" w:sz="0" w:space="0" w:color="auto"/>
        <w:left w:val="none" w:sz="0" w:space="0" w:color="auto"/>
        <w:bottom w:val="none" w:sz="0" w:space="0" w:color="auto"/>
        <w:right w:val="none" w:sz="0" w:space="0" w:color="auto"/>
      </w:divBdr>
      <w:divsChild>
        <w:div w:id="406075495">
          <w:blockQuote w:val="1"/>
          <w:marLeft w:val="225"/>
          <w:marRight w:val="0"/>
          <w:marTop w:val="0"/>
          <w:marBottom w:val="0"/>
          <w:divBdr>
            <w:top w:val="none" w:sz="0" w:space="0" w:color="auto"/>
            <w:left w:val="none" w:sz="0" w:space="0" w:color="auto"/>
            <w:bottom w:val="none" w:sz="0" w:space="0" w:color="auto"/>
            <w:right w:val="none" w:sz="0" w:space="0" w:color="auto"/>
          </w:divBdr>
        </w:div>
        <w:div w:id="815731231">
          <w:blockQuote w:val="1"/>
          <w:marLeft w:val="225"/>
          <w:marRight w:val="0"/>
          <w:marTop w:val="0"/>
          <w:marBottom w:val="0"/>
          <w:divBdr>
            <w:top w:val="none" w:sz="0" w:space="0" w:color="auto"/>
            <w:left w:val="none" w:sz="0" w:space="0" w:color="auto"/>
            <w:bottom w:val="none" w:sz="0" w:space="0" w:color="auto"/>
            <w:right w:val="none" w:sz="0" w:space="0" w:color="auto"/>
          </w:divBdr>
        </w:div>
        <w:div w:id="829322162">
          <w:blockQuote w:val="1"/>
          <w:marLeft w:val="225"/>
          <w:marRight w:val="0"/>
          <w:marTop w:val="0"/>
          <w:marBottom w:val="0"/>
          <w:divBdr>
            <w:top w:val="none" w:sz="0" w:space="0" w:color="auto"/>
            <w:left w:val="none" w:sz="0" w:space="0" w:color="auto"/>
            <w:bottom w:val="none" w:sz="0" w:space="0" w:color="auto"/>
            <w:right w:val="none" w:sz="0" w:space="0" w:color="auto"/>
          </w:divBdr>
        </w:div>
        <w:div w:id="163429026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59576697">
      <w:bodyDiv w:val="1"/>
      <w:marLeft w:val="0"/>
      <w:marRight w:val="0"/>
      <w:marTop w:val="0"/>
      <w:marBottom w:val="0"/>
      <w:divBdr>
        <w:top w:val="none" w:sz="0" w:space="0" w:color="auto"/>
        <w:left w:val="none" w:sz="0" w:space="0" w:color="auto"/>
        <w:bottom w:val="none" w:sz="0" w:space="0" w:color="auto"/>
        <w:right w:val="none" w:sz="0" w:space="0" w:color="auto"/>
      </w:divBdr>
    </w:div>
    <w:div w:id="1921213830">
      <w:bodyDiv w:val="1"/>
      <w:marLeft w:val="0"/>
      <w:marRight w:val="0"/>
      <w:marTop w:val="0"/>
      <w:marBottom w:val="0"/>
      <w:divBdr>
        <w:top w:val="none" w:sz="0" w:space="0" w:color="auto"/>
        <w:left w:val="none" w:sz="0" w:space="0" w:color="auto"/>
        <w:bottom w:val="none" w:sz="0" w:space="0" w:color="auto"/>
        <w:right w:val="none" w:sz="0" w:space="0" w:color="auto"/>
      </w:divBdr>
    </w:div>
    <w:div w:id="2104061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d@valorix.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o@valorix.com" TargetMode="External"/><Relationship Id="rId17" Type="http://schemas.openxmlformats.org/officeDocument/2006/relationships/hyperlink" Target="https://valorix.com" TargetMode="External"/><Relationship Id="rId2" Type="http://schemas.openxmlformats.org/officeDocument/2006/relationships/customXml" Target="../customXml/item2.xml"/><Relationship Id="rId16" Type="http://schemas.openxmlformats.org/officeDocument/2006/relationships/hyperlink" Target="mailto:contacto@valorix.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epd.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gpd@valorix.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D925BDC801935478AAB82DB16A9612A" ma:contentTypeVersion="13" ma:contentTypeDescription="Crear nuevo documento." ma:contentTypeScope="" ma:versionID="7a6169d271f7ac3856babd6230e2675b">
  <xsd:schema xmlns:xsd="http://www.w3.org/2001/XMLSchema" xmlns:xs="http://www.w3.org/2001/XMLSchema" xmlns:p="http://schemas.microsoft.com/office/2006/metadata/properties" xmlns:ns2="cd9849e8-6040-4d58-9299-a458370ec828" xmlns:ns3="b469885f-6f90-4177-ab47-732d26523314" targetNamespace="http://schemas.microsoft.com/office/2006/metadata/properties" ma:root="true" ma:fieldsID="ee39363d595dbe861780cc82055cf52e" ns2:_="" ns3:_="">
    <xsd:import namespace="cd9849e8-6040-4d58-9299-a458370ec828"/>
    <xsd:import namespace="b469885f-6f90-4177-ab47-732d265233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849e8-6040-4d58-9299-a458370ec8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edbd366-700f-4cd5-a672-c4b97712637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9885f-6f90-4177-ab47-732d265233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a34b8a-c91d-48e7-8b6d-37f8b9c8306e}" ma:internalName="TaxCatchAll" ma:showField="CatchAllData" ma:web="b469885f-6f90-4177-ab47-732d265233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8EZxezbIyXXpyyidRwtsoc/nQ==">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9849e8-6040-4d58-9299-a458370ec828">
      <Terms xmlns="http://schemas.microsoft.com/office/infopath/2007/PartnerControls"/>
    </lcf76f155ced4ddcb4097134ff3c332f>
    <TaxCatchAll xmlns="b469885f-6f90-4177-ab47-732d265233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111987-0F52-4841-B006-3DF78589C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849e8-6040-4d58-9299-a458370ec828"/>
    <ds:schemaRef ds:uri="b469885f-6f90-4177-ab47-732d26523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E6988D2-F2B3-4592-A102-2EC42CD83464}">
  <ds:schemaRefs>
    <ds:schemaRef ds:uri="http://schemas.microsoft.com/office/2006/metadata/properties"/>
    <ds:schemaRef ds:uri="http://schemas.microsoft.com/office/infopath/2007/PartnerControls"/>
    <ds:schemaRef ds:uri="cd9849e8-6040-4d58-9299-a458370ec828"/>
    <ds:schemaRef ds:uri="b469885f-6f90-4177-ab47-732d26523314"/>
  </ds:schemaRefs>
</ds:datastoreItem>
</file>

<file path=customXml/itemProps4.xml><?xml version="1.0" encoding="utf-8"?>
<ds:datastoreItem xmlns:ds="http://schemas.openxmlformats.org/officeDocument/2006/customXml" ds:itemID="{71219FA5-2811-44DE-9210-2BEEEBFAFC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4379</Words>
  <Characters>24086</Characters>
  <Application>Microsoft Office Word</Application>
  <DocSecurity>0</DocSecurity>
  <Lines>200</Lines>
  <Paragraphs>56</Paragraphs>
  <ScaleCrop>false</ScaleCrop>
  <Company/>
  <LinksUpToDate>false</LinksUpToDate>
  <CharactersWithSpaces>28409</CharactersWithSpaces>
  <SharedDoc>false</SharedDoc>
  <HLinks>
    <vt:vector size="144" baseType="variant">
      <vt:variant>
        <vt:i4>1572958</vt:i4>
      </vt:variant>
      <vt:variant>
        <vt:i4>126</vt:i4>
      </vt:variant>
      <vt:variant>
        <vt:i4>0</vt:i4>
      </vt:variant>
      <vt:variant>
        <vt:i4>5</vt:i4>
      </vt:variant>
      <vt:variant>
        <vt:lpwstr>https://valorix.com/</vt:lpwstr>
      </vt:variant>
      <vt:variant>
        <vt:lpwstr/>
      </vt:variant>
      <vt:variant>
        <vt:i4>1835054</vt:i4>
      </vt:variant>
      <vt:variant>
        <vt:i4>123</vt:i4>
      </vt:variant>
      <vt:variant>
        <vt:i4>0</vt:i4>
      </vt:variant>
      <vt:variant>
        <vt:i4>5</vt:i4>
      </vt:variant>
      <vt:variant>
        <vt:lpwstr>mailto:contacto@valorix.com</vt:lpwstr>
      </vt:variant>
      <vt:variant>
        <vt:lpwstr/>
      </vt:variant>
      <vt:variant>
        <vt:i4>196620</vt:i4>
      </vt:variant>
      <vt:variant>
        <vt:i4>120</vt:i4>
      </vt:variant>
      <vt:variant>
        <vt:i4>0</vt:i4>
      </vt:variant>
      <vt:variant>
        <vt:i4>5</vt:i4>
      </vt:variant>
      <vt:variant>
        <vt:lpwstr>https://www.aepd.es/</vt:lpwstr>
      </vt:variant>
      <vt:variant>
        <vt:lpwstr/>
      </vt:variant>
      <vt:variant>
        <vt:i4>393274</vt:i4>
      </vt:variant>
      <vt:variant>
        <vt:i4>117</vt:i4>
      </vt:variant>
      <vt:variant>
        <vt:i4>0</vt:i4>
      </vt:variant>
      <vt:variant>
        <vt:i4>5</vt:i4>
      </vt:variant>
      <vt:variant>
        <vt:lpwstr>mailto:rgpd@valorix.com</vt:lpwstr>
      </vt:variant>
      <vt:variant>
        <vt:lpwstr/>
      </vt:variant>
      <vt:variant>
        <vt:i4>8126556</vt:i4>
      </vt:variant>
      <vt:variant>
        <vt:i4>114</vt:i4>
      </vt:variant>
      <vt:variant>
        <vt:i4>0</vt:i4>
      </vt:variant>
      <vt:variant>
        <vt:i4>5</vt:i4>
      </vt:variant>
      <vt:variant>
        <vt:lpwstr>mailto:dpd@valorix.com</vt:lpwstr>
      </vt:variant>
      <vt:variant>
        <vt:lpwstr/>
      </vt:variant>
      <vt:variant>
        <vt:i4>1835054</vt:i4>
      </vt:variant>
      <vt:variant>
        <vt:i4>111</vt:i4>
      </vt:variant>
      <vt:variant>
        <vt:i4>0</vt:i4>
      </vt:variant>
      <vt:variant>
        <vt:i4>5</vt:i4>
      </vt:variant>
      <vt:variant>
        <vt:lpwstr>mailto:contacto@valorix.com</vt:lpwstr>
      </vt:variant>
      <vt:variant>
        <vt:lpwstr/>
      </vt:variant>
      <vt:variant>
        <vt:i4>1310777</vt:i4>
      </vt:variant>
      <vt:variant>
        <vt:i4>104</vt:i4>
      </vt:variant>
      <vt:variant>
        <vt:i4>0</vt:i4>
      </vt:variant>
      <vt:variant>
        <vt:i4>5</vt:i4>
      </vt:variant>
      <vt:variant>
        <vt:lpwstr/>
      </vt:variant>
      <vt:variant>
        <vt:lpwstr>_Toc202892096</vt:lpwstr>
      </vt:variant>
      <vt:variant>
        <vt:i4>1310777</vt:i4>
      </vt:variant>
      <vt:variant>
        <vt:i4>98</vt:i4>
      </vt:variant>
      <vt:variant>
        <vt:i4>0</vt:i4>
      </vt:variant>
      <vt:variant>
        <vt:i4>5</vt:i4>
      </vt:variant>
      <vt:variant>
        <vt:lpwstr/>
      </vt:variant>
      <vt:variant>
        <vt:lpwstr>_Toc202892095</vt:lpwstr>
      </vt:variant>
      <vt:variant>
        <vt:i4>1310777</vt:i4>
      </vt:variant>
      <vt:variant>
        <vt:i4>92</vt:i4>
      </vt:variant>
      <vt:variant>
        <vt:i4>0</vt:i4>
      </vt:variant>
      <vt:variant>
        <vt:i4>5</vt:i4>
      </vt:variant>
      <vt:variant>
        <vt:lpwstr/>
      </vt:variant>
      <vt:variant>
        <vt:lpwstr>_Toc202892094</vt:lpwstr>
      </vt:variant>
      <vt:variant>
        <vt:i4>1310777</vt:i4>
      </vt:variant>
      <vt:variant>
        <vt:i4>86</vt:i4>
      </vt:variant>
      <vt:variant>
        <vt:i4>0</vt:i4>
      </vt:variant>
      <vt:variant>
        <vt:i4>5</vt:i4>
      </vt:variant>
      <vt:variant>
        <vt:lpwstr/>
      </vt:variant>
      <vt:variant>
        <vt:lpwstr>_Toc202892093</vt:lpwstr>
      </vt:variant>
      <vt:variant>
        <vt:i4>1310777</vt:i4>
      </vt:variant>
      <vt:variant>
        <vt:i4>80</vt:i4>
      </vt:variant>
      <vt:variant>
        <vt:i4>0</vt:i4>
      </vt:variant>
      <vt:variant>
        <vt:i4>5</vt:i4>
      </vt:variant>
      <vt:variant>
        <vt:lpwstr/>
      </vt:variant>
      <vt:variant>
        <vt:lpwstr>_Toc202892092</vt:lpwstr>
      </vt:variant>
      <vt:variant>
        <vt:i4>1310777</vt:i4>
      </vt:variant>
      <vt:variant>
        <vt:i4>74</vt:i4>
      </vt:variant>
      <vt:variant>
        <vt:i4>0</vt:i4>
      </vt:variant>
      <vt:variant>
        <vt:i4>5</vt:i4>
      </vt:variant>
      <vt:variant>
        <vt:lpwstr/>
      </vt:variant>
      <vt:variant>
        <vt:lpwstr>_Toc202892091</vt:lpwstr>
      </vt:variant>
      <vt:variant>
        <vt:i4>1310777</vt:i4>
      </vt:variant>
      <vt:variant>
        <vt:i4>68</vt:i4>
      </vt:variant>
      <vt:variant>
        <vt:i4>0</vt:i4>
      </vt:variant>
      <vt:variant>
        <vt:i4>5</vt:i4>
      </vt:variant>
      <vt:variant>
        <vt:lpwstr/>
      </vt:variant>
      <vt:variant>
        <vt:lpwstr>_Toc202892090</vt:lpwstr>
      </vt:variant>
      <vt:variant>
        <vt:i4>1376313</vt:i4>
      </vt:variant>
      <vt:variant>
        <vt:i4>62</vt:i4>
      </vt:variant>
      <vt:variant>
        <vt:i4>0</vt:i4>
      </vt:variant>
      <vt:variant>
        <vt:i4>5</vt:i4>
      </vt:variant>
      <vt:variant>
        <vt:lpwstr/>
      </vt:variant>
      <vt:variant>
        <vt:lpwstr>_Toc202892089</vt:lpwstr>
      </vt:variant>
      <vt:variant>
        <vt:i4>1376313</vt:i4>
      </vt:variant>
      <vt:variant>
        <vt:i4>56</vt:i4>
      </vt:variant>
      <vt:variant>
        <vt:i4>0</vt:i4>
      </vt:variant>
      <vt:variant>
        <vt:i4>5</vt:i4>
      </vt:variant>
      <vt:variant>
        <vt:lpwstr/>
      </vt:variant>
      <vt:variant>
        <vt:lpwstr>_Toc202892088</vt:lpwstr>
      </vt:variant>
      <vt:variant>
        <vt:i4>1376313</vt:i4>
      </vt:variant>
      <vt:variant>
        <vt:i4>50</vt:i4>
      </vt:variant>
      <vt:variant>
        <vt:i4>0</vt:i4>
      </vt:variant>
      <vt:variant>
        <vt:i4>5</vt:i4>
      </vt:variant>
      <vt:variant>
        <vt:lpwstr/>
      </vt:variant>
      <vt:variant>
        <vt:lpwstr>_Toc202892087</vt:lpwstr>
      </vt:variant>
      <vt:variant>
        <vt:i4>1376313</vt:i4>
      </vt:variant>
      <vt:variant>
        <vt:i4>44</vt:i4>
      </vt:variant>
      <vt:variant>
        <vt:i4>0</vt:i4>
      </vt:variant>
      <vt:variant>
        <vt:i4>5</vt:i4>
      </vt:variant>
      <vt:variant>
        <vt:lpwstr/>
      </vt:variant>
      <vt:variant>
        <vt:lpwstr>_Toc202892086</vt:lpwstr>
      </vt:variant>
      <vt:variant>
        <vt:i4>1376313</vt:i4>
      </vt:variant>
      <vt:variant>
        <vt:i4>38</vt:i4>
      </vt:variant>
      <vt:variant>
        <vt:i4>0</vt:i4>
      </vt:variant>
      <vt:variant>
        <vt:i4>5</vt:i4>
      </vt:variant>
      <vt:variant>
        <vt:lpwstr/>
      </vt:variant>
      <vt:variant>
        <vt:lpwstr>_Toc202892085</vt:lpwstr>
      </vt:variant>
      <vt:variant>
        <vt:i4>1376313</vt:i4>
      </vt:variant>
      <vt:variant>
        <vt:i4>32</vt:i4>
      </vt:variant>
      <vt:variant>
        <vt:i4>0</vt:i4>
      </vt:variant>
      <vt:variant>
        <vt:i4>5</vt:i4>
      </vt:variant>
      <vt:variant>
        <vt:lpwstr/>
      </vt:variant>
      <vt:variant>
        <vt:lpwstr>_Toc202892084</vt:lpwstr>
      </vt:variant>
      <vt:variant>
        <vt:i4>1376313</vt:i4>
      </vt:variant>
      <vt:variant>
        <vt:i4>26</vt:i4>
      </vt:variant>
      <vt:variant>
        <vt:i4>0</vt:i4>
      </vt:variant>
      <vt:variant>
        <vt:i4>5</vt:i4>
      </vt:variant>
      <vt:variant>
        <vt:lpwstr/>
      </vt:variant>
      <vt:variant>
        <vt:lpwstr>_Toc202892083</vt:lpwstr>
      </vt:variant>
      <vt:variant>
        <vt:i4>1376313</vt:i4>
      </vt:variant>
      <vt:variant>
        <vt:i4>20</vt:i4>
      </vt:variant>
      <vt:variant>
        <vt:i4>0</vt:i4>
      </vt:variant>
      <vt:variant>
        <vt:i4>5</vt:i4>
      </vt:variant>
      <vt:variant>
        <vt:lpwstr/>
      </vt:variant>
      <vt:variant>
        <vt:lpwstr>_Toc202892082</vt:lpwstr>
      </vt:variant>
      <vt:variant>
        <vt:i4>1376313</vt:i4>
      </vt:variant>
      <vt:variant>
        <vt:i4>14</vt:i4>
      </vt:variant>
      <vt:variant>
        <vt:i4>0</vt:i4>
      </vt:variant>
      <vt:variant>
        <vt:i4>5</vt:i4>
      </vt:variant>
      <vt:variant>
        <vt:lpwstr/>
      </vt:variant>
      <vt:variant>
        <vt:lpwstr>_Toc202892081</vt:lpwstr>
      </vt:variant>
      <vt:variant>
        <vt:i4>1376313</vt:i4>
      </vt:variant>
      <vt:variant>
        <vt:i4>8</vt:i4>
      </vt:variant>
      <vt:variant>
        <vt:i4>0</vt:i4>
      </vt:variant>
      <vt:variant>
        <vt:i4>5</vt:i4>
      </vt:variant>
      <vt:variant>
        <vt:lpwstr/>
      </vt:variant>
      <vt:variant>
        <vt:lpwstr>_Toc202892080</vt:lpwstr>
      </vt:variant>
      <vt:variant>
        <vt:i4>1703993</vt:i4>
      </vt:variant>
      <vt:variant>
        <vt:i4>2</vt:i4>
      </vt:variant>
      <vt:variant>
        <vt:i4>0</vt:i4>
      </vt:variant>
      <vt:variant>
        <vt:i4>5</vt:i4>
      </vt:variant>
      <vt:variant>
        <vt:lpwstr/>
      </vt:variant>
      <vt:variant>
        <vt:lpwstr>_Toc202892079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Terstiege</dc:creator>
  <cp:keywords/>
  <cp:lastModifiedBy>Rapicredit .</cp:lastModifiedBy>
  <cp:revision>2</cp:revision>
  <dcterms:created xsi:type="dcterms:W3CDTF">2025-12-16T00:05:00Z</dcterms:created>
  <dcterms:modified xsi:type="dcterms:W3CDTF">2025-12-16T00:05:00Z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0x0101008D925BDC801935478AAB82DB16A9612A</vt:lpwstr>
  </property>
  <property fmtid="{D5CDD505-2E9C-101B-9397-08002B2CF9AE}" pid="3" name="MediaServiceImageTags">
    <vt:lpwstr/>
  </property>
</Properties>
</file>